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A3E22" w14:textId="77777777" w:rsidR="00A932F3" w:rsidRDefault="00A932F3" w:rsidP="00A932F3">
      <w:pPr>
        <w:jc w:val="both"/>
      </w:pPr>
    </w:p>
    <w:p w14:paraId="42A1AF94" w14:textId="4E95FF90" w:rsidR="00A932F3" w:rsidRPr="006D604A" w:rsidRDefault="00A932F3" w:rsidP="00A932F3">
      <w:pPr>
        <w:jc w:val="both"/>
        <w:rPr>
          <w:sz w:val="24"/>
          <w:szCs w:val="24"/>
        </w:rPr>
      </w:pPr>
      <w:r w:rsidRPr="006D604A">
        <w:rPr>
          <w:sz w:val="24"/>
          <w:szCs w:val="24"/>
        </w:rPr>
        <w:t xml:space="preserve">The North Dakota Ethics Commission may issue advisory opinions upon request or on its own </w:t>
      </w:r>
      <w:r w:rsidR="00CA3272">
        <w:rPr>
          <w:sz w:val="24"/>
          <w:szCs w:val="24"/>
        </w:rPr>
        <w:t xml:space="preserve">motion </w:t>
      </w:r>
      <w:r w:rsidRPr="006D604A">
        <w:rPr>
          <w:sz w:val="24"/>
          <w:szCs w:val="24"/>
        </w:rPr>
        <w:t xml:space="preserve">in accordance with NDCC §54-66-04.2.   </w:t>
      </w:r>
      <w:r w:rsidR="00CA3272">
        <w:rPr>
          <w:sz w:val="24"/>
          <w:szCs w:val="24"/>
        </w:rPr>
        <w:t>F</w:t>
      </w:r>
      <w:r w:rsidRPr="006D604A">
        <w:rPr>
          <w:sz w:val="24"/>
          <w:szCs w:val="24"/>
        </w:rPr>
        <w:t xml:space="preserve">ormal advisory opinions interpret ethics laws, </w:t>
      </w:r>
      <w:proofErr w:type="gramStart"/>
      <w:r w:rsidRPr="006D604A">
        <w:rPr>
          <w:sz w:val="24"/>
          <w:szCs w:val="24"/>
        </w:rPr>
        <w:t>rules</w:t>
      </w:r>
      <w:proofErr w:type="gramEnd"/>
      <w:r w:rsidR="00F15DDB">
        <w:rPr>
          <w:sz w:val="24"/>
          <w:szCs w:val="24"/>
        </w:rPr>
        <w:t xml:space="preserve"> </w:t>
      </w:r>
      <w:r w:rsidRPr="006D604A">
        <w:rPr>
          <w:sz w:val="24"/>
          <w:szCs w:val="24"/>
        </w:rPr>
        <w:t xml:space="preserve">and Article XIV of the North Dakota Constitution to specified hypothetical facts or prospective conduct.   An individual who in good faith relies on a formal advisory opinion may not be subject to civil or criminal penalties provided the material facts surrounding the action are substantially the same as the conduct presented in the opinion.   </w:t>
      </w:r>
    </w:p>
    <w:p w14:paraId="23110307" w14:textId="392C3C2F" w:rsidR="00B32F9B" w:rsidRPr="006D604A" w:rsidRDefault="00B32F9B" w:rsidP="005F1C2E">
      <w:pPr>
        <w:rPr>
          <w:sz w:val="24"/>
          <w:szCs w:val="24"/>
        </w:rPr>
      </w:pPr>
    </w:p>
    <w:p w14:paraId="710DBB1A" w14:textId="58E25AFC" w:rsidR="00A932F3" w:rsidRPr="006D604A" w:rsidRDefault="00A932F3" w:rsidP="00A932F3">
      <w:pPr>
        <w:jc w:val="center"/>
        <w:rPr>
          <w:b/>
          <w:bCs/>
          <w:sz w:val="24"/>
          <w:szCs w:val="24"/>
        </w:rPr>
      </w:pPr>
      <w:r w:rsidRPr="006D604A">
        <w:rPr>
          <w:b/>
          <w:bCs/>
          <w:sz w:val="24"/>
          <w:szCs w:val="24"/>
        </w:rPr>
        <w:t>ADVISORY OPINION</w:t>
      </w:r>
    </w:p>
    <w:p w14:paraId="7EC94D6F" w14:textId="0887A179" w:rsidR="00A932F3" w:rsidRPr="006D604A" w:rsidRDefault="00A932F3" w:rsidP="00A932F3">
      <w:pPr>
        <w:jc w:val="center"/>
        <w:rPr>
          <w:sz w:val="24"/>
          <w:szCs w:val="24"/>
        </w:rPr>
      </w:pPr>
      <w:r w:rsidRPr="006D604A">
        <w:rPr>
          <w:b/>
          <w:bCs/>
          <w:sz w:val="24"/>
          <w:szCs w:val="24"/>
        </w:rPr>
        <w:t>2021-001</w:t>
      </w:r>
    </w:p>
    <w:p w14:paraId="15F87B84" w14:textId="6FEE5EC1" w:rsidR="00A657EA" w:rsidRPr="006D604A" w:rsidRDefault="00A657EA" w:rsidP="00A932F3">
      <w:pPr>
        <w:pStyle w:val="ListParagraph"/>
        <w:numPr>
          <w:ilvl w:val="0"/>
          <w:numId w:val="4"/>
        </w:numPr>
        <w:rPr>
          <w:sz w:val="24"/>
          <w:szCs w:val="24"/>
        </w:rPr>
      </w:pPr>
      <w:bookmarkStart w:id="0" w:name="_Hlk81928307"/>
      <w:r w:rsidRPr="006D604A">
        <w:rPr>
          <w:sz w:val="24"/>
          <w:szCs w:val="24"/>
        </w:rPr>
        <w:t xml:space="preserve">The purpose of this opinion is to set standards and conditions for the acceptance </w:t>
      </w:r>
      <w:r w:rsidR="00CA3272">
        <w:rPr>
          <w:sz w:val="24"/>
          <w:szCs w:val="24"/>
        </w:rPr>
        <w:t xml:space="preserve">by public officials </w:t>
      </w:r>
      <w:r w:rsidRPr="006D604A">
        <w:rPr>
          <w:sz w:val="24"/>
          <w:szCs w:val="24"/>
        </w:rPr>
        <w:t xml:space="preserve">of travel, meals, and lodging </w:t>
      </w:r>
      <w:r w:rsidR="00CE56C7" w:rsidRPr="006D604A">
        <w:rPr>
          <w:sz w:val="24"/>
          <w:szCs w:val="24"/>
        </w:rPr>
        <w:t xml:space="preserve">from sources other than the agency that the official serves, for travel to </w:t>
      </w:r>
      <w:r w:rsidR="00CA3272">
        <w:rPr>
          <w:sz w:val="24"/>
          <w:szCs w:val="24"/>
        </w:rPr>
        <w:t xml:space="preserve">a </w:t>
      </w:r>
      <w:r w:rsidR="00CE56C7" w:rsidRPr="006D604A">
        <w:rPr>
          <w:sz w:val="24"/>
          <w:szCs w:val="24"/>
        </w:rPr>
        <w:t xml:space="preserve">conference, seminar, </w:t>
      </w:r>
      <w:r w:rsidR="00CA3272">
        <w:rPr>
          <w:sz w:val="24"/>
          <w:szCs w:val="24"/>
        </w:rPr>
        <w:t>or sim</w:t>
      </w:r>
      <w:r w:rsidR="00CE56C7" w:rsidRPr="006D604A">
        <w:rPr>
          <w:sz w:val="24"/>
          <w:szCs w:val="24"/>
        </w:rPr>
        <w:t>ilar event.</w:t>
      </w:r>
      <w:r w:rsidR="00A932F3" w:rsidRPr="006D604A">
        <w:rPr>
          <w:sz w:val="24"/>
          <w:szCs w:val="24"/>
        </w:rPr>
        <w:t xml:space="preserve"> This advisory opinion is </w:t>
      </w:r>
      <w:r w:rsidR="00CE56C7" w:rsidRPr="006D604A">
        <w:rPr>
          <w:sz w:val="24"/>
          <w:szCs w:val="24"/>
        </w:rPr>
        <w:t>initiated</w:t>
      </w:r>
      <w:r w:rsidR="00A932F3" w:rsidRPr="006D604A">
        <w:rPr>
          <w:sz w:val="24"/>
          <w:szCs w:val="24"/>
        </w:rPr>
        <w:t xml:space="preserve"> by the North Dakota Ethics Commission.</w:t>
      </w:r>
      <w:bookmarkEnd w:id="0"/>
    </w:p>
    <w:p w14:paraId="3260C756" w14:textId="77777777" w:rsidR="006D604A" w:rsidRPr="006D604A" w:rsidRDefault="006D604A" w:rsidP="006D604A">
      <w:pPr>
        <w:pStyle w:val="ListParagraph"/>
        <w:rPr>
          <w:sz w:val="24"/>
          <w:szCs w:val="24"/>
        </w:rPr>
      </w:pPr>
    </w:p>
    <w:p w14:paraId="72D563B3" w14:textId="315ED2F6" w:rsidR="00CE56C7" w:rsidRPr="006D604A" w:rsidRDefault="001D05F1" w:rsidP="00CE56C7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D604A">
        <w:rPr>
          <w:sz w:val="24"/>
          <w:szCs w:val="24"/>
        </w:rPr>
        <w:t>“Public official</w:t>
      </w:r>
      <w:r w:rsidR="00CA3272">
        <w:rPr>
          <w:sz w:val="24"/>
          <w:szCs w:val="24"/>
        </w:rPr>
        <w:t>”</w:t>
      </w:r>
      <w:r w:rsidRPr="006D604A">
        <w:rPr>
          <w:sz w:val="24"/>
          <w:szCs w:val="24"/>
        </w:rPr>
        <w:t xml:space="preserve"> means any elected or appointed official </w:t>
      </w:r>
      <w:r w:rsidR="00541C78" w:rsidRPr="006D604A">
        <w:rPr>
          <w:sz w:val="24"/>
          <w:szCs w:val="24"/>
        </w:rPr>
        <w:t>of</w:t>
      </w:r>
      <w:r w:rsidRPr="006D604A">
        <w:rPr>
          <w:sz w:val="24"/>
          <w:szCs w:val="24"/>
        </w:rPr>
        <w:t xml:space="preserve"> the state’s executive or legislative branch, including members of the ethics commission, members of the governor’s cabinet, and employees of the legislative branch</w:t>
      </w:r>
      <w:r w:rsidR="00CA3272">
        <w:rPr>
          <w:sz w:val="24"/>
          <w:szCs w:val="24"/>
        </w:rPr>
        <w:t>, and appointed members of statewide boards or commissions.  (</w:t>
      </w:r>
      <w:r w:rsidR="00541C78" w:rsidRPr="006D604A">
        <w:rPr>
          <w:sz w:val="24"/>
          <w:szCs w:val="24"/>
        </w:rPr>
        <w:t xml:space="preserve">NDAC </w:t>
      </w:r>
      <w:r w:rsidRPr="006D604A">
        <w:rPr>
          <w:sz w:val="24"/>
          <w:szCs w:val="24"/>
        </w:rPr>
        <w:t>115-03-02-01(8)</w:t>
      </w:r>
      <w:r w:rsidR="00CA3272">
        <w:rPr>
          <w:sz w:val="24"/>
          <w:szCs w:val="24"/>
        </w:rPr>
        <w:t>)</w:t>
      </w:r>
    </w:p>
    <w:p w14:paraId="65E0EC58" w14:textId="46331446" w:rsidR="00297C86" w:rsidRPr="006D604A" w:rsidRDefault="00297C86" w:rsidP="00297C86">
      <w:pPr>
        <w:pStyle w:val="ListParagraph"/>
        <w:rPr>
          <w:sz w:val="24"/>
          <w:szCs w:val="24"/>
        </w:rPr>
      </w:pPr>
    </w:p>
    <w:p w14:paraId="32D7F5C2" w14:textId="23BAF8AD" w:rsidR="00541C78" w:rsidRPr="006D604A" w:rsidRDefault="00541C78" w:rsidP="00541C7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D604A">
        <w:rPr>
          <w:sz w:val="24"/>
          <w:szCs w:val="24"/>
        </w:rPr>
        <w:t xml:space="preserve">A public official may accept travel expenses or reimbursements if the travel is </w:t>
      </w:r>
      <w:r w:rsidR="00CA3272">
        <w:rPr>
          <w:sz w:val="24"/>
          <w:szCs w:val="24"/>
        </w:rPr>
        <w:t xml:space="preserve">for attendance at a </w:t>
      </w:r>
      <w:r w:rsidRPr="006D604A">
        <w:rPr>
          <w:sz w:val="24"/>
          <w:szCs w:val="24"/>
        </w:rPr>
        <w:t>conference, seminar, or similar event that is related to the public official</w:t>
      </w:r>
      <w:r w:rsidR="00CA3272">
        <w:rPr>
          <w:sz w:val="24"/>
          <w:szCs w:val="24"/>
        </w:rPr>
        <w:t>’s</w:t>
      </w:r>
      <w:r w:rsidRPr="006D604A">
        <w:rPr>
          <w:sz w:val="24"/>
          <w:szCs w:val="24"/>
        </w:rPr>
        <w:t xml:space="preserve"> duties and is not of such character as to </w:t>
      </w:r>
      <w:r w:rsidR="00CA3272">
        <w:rPr>
          <w:sz w:val="24"/>
          <w:szCs w:val="24"/>
        </w:rPr>
        <w:t>create the appearance of an i</w:t>
      </w:r>
      <w:r w:rsidRPr="006D604A">
        <w:rPr>
          <w:sz w:val="24"/>
          <w:szCs w:val="24"/>
        </w:rPr>
        <w:t>mproper influence on the traveler with respect to that person’s duties.</w:t>
      </w:r>
    </w:p>
    <w:p w14:paraId="431B984B" w14:textId="77777777" w:rsidR="005E2753" w:rsidRPr="006D604A" w:rsidRDefault="005E2753" w:rsidP="005E2753">
      <w:pPr>
        <w:pStyle w:val="ListParagraph"/>
        <w:rPr>
          <w:sz w:val="24"/>
          <w:szCs w:val="24"/>
        </w:rPr>
      </w:pPr>
    </w:p>
    <w:p w14:paraId="5D9548ED" w14:textId="5D47A20B" w:rsidR="005E2753" w:rsidRPr="006D604A" w:rsidRDefault="005E2753" w:rsidP="00541C78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D604A">
        <w:rPr>
          <w:sz w:val="24"/>
          <w:szCs w:val="24"/>
        </w:rPr>
        <w:t xml:space="preserve">Travel expenses or reimbursements provided under paragraph (C) of this opinion are </w:t>
      </w:r>
      <w:r w:rsidR="00503CC0">
        <w:rPr>
          <w:sz w:val="24"/>
          <w:szCs w:val="24"/>
        </w:rPr>
        <w:t xml:space="preserve">authorized if the </w:t>
      </w:r>
      <w:r w:rsidRPr="006D604A">
        <w:rPr>
          <w:sz w:val="24"/>
          <w:szCs w:val="24"/>
        </w:rPr>
        <w:t>following factors are met:</w:t>
      </w:r>
    </w:p>
    <w:p w14:paraId="74D79731" w14:textId="77777777" w:rsidR="005E2753" w:rsidRPr="006D604A" w:rsidRDefault="005E2753" w:rsidP="005E2753">
      <w:pPr>
        <w:pStyle w:val="ListParagraph"/>
        <w:rPr>
          <w:sz w:val="24"/>
          <w:szCs w:val="24"/>
        </w:rPr>
      </w:pPr>
    </w:p>
    <w:p w14:paraId="5E22B71C" w14:textId="73163AC3" w:rsidR="005E2753" w:rsidRPr="006D604A" w:rsidRDefault="005E2753" w:rsidP="005E2753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6D604A">
        <w:rPr>
          <w:sz w:val="24"/>
          <w:szCs w:val="24"/>
        </w:rPr>
        <w:t>Before trave</w:t>
      </w:r>
      <w:r w:rsidR="006D604A" w:rsidRPr="006D604A">
        <w:rPr>
          <w:sz w:val="24"/>
          <w:szCs w:val="24"/>
        </w:rPr>
        <w:t>l</w:t>
      </w:r>
      <w:r w:rsidRPr="006D604A">
        <w:rPr>
          <w:sz w:val="24"/>
          <w:szCs w:val="24"/>
        </w:rPr>
        <w:t xml:space="preserve"> to the conference, seminar, or similar event, th</w:t>
      </w:r>
      <w:r w:rsidR="00290EDD">
        <w:rPr>
          <w:sz w:val="24"/>
          <w:szCs w:val="24"/>
        </w:rPr>
        <w:t>e</w:t>
      </w:r>
      <w:r w:rsidRPr="006D604A">
        <w:rPr>
          <w:sz w:val="24"/>
          <w:szCs w:val="24"/>
        </w:rPr>
        <w:t xml:space="preserve"> agency that the official serves </w:t>
      </w:r>
      <w:proofErr w:type="gramStart"/>
      <w:r w:rsidRPr="006D604A">
        <w:rPr>
          <w:sz w:val="24"/>
          <w:szCs w:val="24"/>
        </w:rPr>
        <w:t>determines</w:t>
      </w:r>
      <w:proofErr w:type="gramEnd"/>
      <w:r w:rsidRPr="006D604A">
        <w:rPr>
          <w:sz w:val="24"/>
          <w:szCs w:val="24"/>
        </w:rPr>
        <w:t xml:space="preserve"> that:</w:t>
      </w:r>
    </w:p>
    <w:p w14:paraId="168076B4" w14:textId="77777777" w:rsidR="006D604A" w:rsidRPr="006D604A" w:rsidRDefault="006D604A" w:rsidP="006D604A">
      <w:pPr>
        <w:pStyle w:val="ListParagraph"/>
        <w:ind w:left="1440"/>
        <w:rPr>
          <w:sz w:val="24"/>
          <w:szCs w:val="24"/>
        </w:rPr>
      </w:pPr>
    </w:p>
    <w:p w14:paraId="51B8A797" w14:textId="780A8FF9" w:rsidR="005E2753" w:rsidRDefault="005E2753" w:rsidP="005E2753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6D604A">
        <w:rPr>
          <w:sz w:val="24"/>
          <w:szCs w:val="24"/>
        </w:rPr>
        <w:t>The travel is related to the official’s official duties</w:t>
      </w:r>
      <w:r w:rsidR="006D604A" w:rsidRPr="006D604A">
        <w:rPr>
          <w:sz w:val="24"/>
          <w:szCs w:val="24"/>
        </w:rPr>
        <w:t xml:space="preserve"> and would be reimbursable by the agency;</w:t>
      </w:r>
      <w:r w:rsidRPr="006D604A">
        <w:rPr>
          <w:sz w:val="24"/>
          <w:szCs w:val="24"/>
        </w:rPr>
        <w:t xml:space="preserve"> and</w:t>
      </w:r>
    </w:p>
    <w:p w14:paraId="48424528" w14:textId="625DB4D9" w:rsidR="00F15DDB" w:rsidRPr="006D604A" w:rsidRDefault="00F15DDB" w:rsidP="005E2753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“Travel expenses” are</w:t>
      </w:r>
      <w:r w:rsidR="00F504D2">
        <w:rPr>
          <w:sz w:val="24"/>
          <w:szCs w:val="24"/>
        </w:rPr>
        <w:t xml:space="preserve"> for</w:t>
      </w:r>
      <w:r>
        <w:rPr>
          <w:sz w:val="24"/>
          <w:szCs w:val="24"/>
        </w:rPr>
        <w:t xml:space="preserve"> transportation, meal, and lodging expenses paid for or reimbursed to a public official; and</w:t>
      </w:r>
    </w:p>
    <w:p w14:paraId="3B342240" w14:textId="75B4BBC6" w:rsidR="005E2753" w:rsidRPr="006D604A" w:rsidRDefault="006D604A" w:rsidP="005E2753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6D604A">
        <w:rPr>
          <w:sz w:val="24"/>
          <w:szCs w:val="24"/>
        </w:rPr>
        <w:lastRenderedPageBreak/>
        <w:t>The travel expenses are ordinary, customary, necessary and do not exceed rates as authorized under NDCC 44-08-04 and OMB Fiscal Policy #505</w:t>
      </w:r>
      <w:r w:rsidR="004B0A33">
        <w:rPr>
          <w:sz w:val="24"/>
          <w:szCs w:val="24"/>
        </w:rPr>
        <w:t>, #510 and #511</w:t>
      </w:r>
      <w:r w:rsidR="00F15DDB">
        <w:rPr>
          <w:sz w:val="24"/>
          <w:szCs w:val="24"/>
        </w:rPr>
        <w:t>; and</w:t>
      </w:r>
    </w:p>
    <w:p w14:paraId="35596510" w14:textId="13A51056" w:rsidR="006D604A" w:rsidRDefault="006D604A" w:rsidP="005E2753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6D604A">
        <w:rPr>
          <w:sz w:val="24"/>
          <w:szCs w:val="24"/>
        </w:rPr>
        <w:t>The travel expenses are of</w:t>
      </w:r>
      <w:r w:rsidR="002C3750">
        <w:rPr>
          <w:sz w:val="24"/>
          <w:szCs w:val="24"/>
        </w:rPr>
        <w:t xml:space="preserve"> direct and quantifiable</w:t>
      </w:r>
      <w:r w:rsidRPr="006D604A">
        <w:rPr>
          <w:sz w:val="24"/>
          <w:szCs w:val="24"/>
        </w:rPr>
        <w:t xml:space="preserve"> benefit to the state and not the individual</w:t>
      </w:r>
      <w:r w:rsidR="00290EDD">
        <w:rPr>
          <w:sz w:val="24"/>
          <w:szCs w:val="24"/>
        </w:rPr>
        <w:t>; and</w:t>
      </w:r>
    </w:p>
    <w:p w14:paraId="4DB7BFBB" w14:textId="7297811C" w:rsidR="002C3750" w:rsidRDefault="002C3750" w:rsidP="005E2753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The travel expenses are not where donor is plainly offering a seminar as part of a general sales/public relations effort</w:t>
      </w:r>
      <w:r w:rsidR="00290EDD">
        <w:rPr>
          <w:sz w:val="24"/>
          <w:szCs w:val="24"/>
        </w:rPr>
        <w:t>; and</w:t>
      </w:r>
    </w:p>
    <w:p w14:paraId="1703A004" w14:textId="2268FAE9" w:rsidR="002C3750" w:rsidRPr="006D604A" w:rsidRDefault="002C3750" w:rsidP="005E2753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The travel expenses are not only generally related to the agency interests and involve personal entertainment and favors accruing to the employee personally.</w:t>
      </w:r>
    </w:p>
    <w:p w14:paraId="587E7197" w14:textId="5BB11736" w:rsidR="00541C78" w:rsidRDefault="00541C78" w:rsidP="00297C86">
      <w:pPr>
        <w:pStyle w:val="ListParagraph"/>
        <w:rPr>
          <w:sz w:val="24"/>
          <w:szCs w:val="24"/>
        </w:rPr>
      </w:pPr>
    </w:p>
    <w:p w14:paraId="33D4621D" w14:textId="75C4B0CC" w:rsidR="00290EDD" w:rsidRDefault="00290EDD" w:rsidP="00297C86">
      <w:pPr>
        <w:pStyle w:val="ListParagraph"/>
        <w:rPr>
          <w:sz w:val="24"/>
          <w:szCs w:val="24"/>
        </w:rPr>
      </w:pPr>
    </w:p>
    <w:p w14:paraId="15BF8024" w14:textId="77777777" w:rsidR="00290EDD" w:rsidRPr="006D604A" w:rsidRDefault="00290EDD" w:rsidP="00297C86">
      <w:pPr>
        <w:pStyle w:val="ListParagraph"/>
        <w:rPr>
          <w:sz w:val="24"/>
          <w:szCs w:val="24"/>
        </w:rPr>
      </w:pPr>
    </w:p>
    <w:p w14:paraId="5E36B0B5" w14:textId="1B7F4072" w:rsidR="00541C78" w:rsidRPr="006D604A" w:rsidRDefault="006766B3" w:rsidP="00297C86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D80703" wp14:editId="1745A3F1">
                <wp:simplePos x="0" y="0"/>
                <wp:positionH relativeFrom="column">
                  <wp:posOffset>3680460</wp:posOffset>
                </wp:positionH>
                <wp:positionV relativeFrom="paragraph">
                  <wp:posOffset>140970</wp:posOffset>
                </wp:positionV>
                <wp:extent cx="210312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AC3FEC" id="Straight Connector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8pt,11.1pt" to="455.4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44826B" wp14:editId="362697BC">
                <wp:simplePos x="0" y="0"/>
                <wp:positionH relativeFrom="column">
                  <wp:posOffset>449580</wp:posOffset>
                </wp:positionH>
                <wp:positionV relativeFrom="paragraph">
                  <wp:posOffset>140970</wp:posOffset>
                </wp:positionV>
                <wp:extent cx="233934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93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C222B0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4pt,11.1pt" to="219.6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51D8B292" w14:textId="77777777" w:rsidR="006766B3" w:rsidRDefault="006766B3" w:rsidP="006766B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Ronald Goodman, Chair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Ward Koeser, Commissioner</w:t>
      </w:r>
    </w:p>
    <w:p w14:paraId="7B6FAB4E" w14:textId="77777777" w:rsidR="006766B3" w:rsidRDefault="006766B3" w:rsidP="006766B3">
      <w:pPr>
        <w:pStyle w:val="ListParagraph"/>
        <w:rPr>
          <w:sz w:val="24"/>
          <w:szCs w:val="24"/>
        </w:rPr>
      </w:pPr>
    </w:p>
    <w:p w14:paraId="01477A50" w14:textId="53659771" w:rsidR="006766B3" w:rsidRDefault="006766B3" w:rsidP="006766B3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F01380" wp14:editId="10C396CB">
                <wp:simplePos x="0" y="0"/>
                <wp:positionH relativeFrom="column">
                  <wp:posOffset>449580</wp:posOffset>
                </wp:positionH>
                <wp:positionV relativeFrom="paragraph">
                  <wp:posOffset>166370</wp:posOffset>
                </wp:positionV>
                <wp:extent cx="227076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0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E6DC22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4pt,13.1pt" to="214.2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6890FF" wp14:editId="5D35E54B">
                <wp:simplePos x="0" y="0"/>
                <wp:positionH relativeFrom="column">
                  <wp:posOffset>3680460</wp:posOffset>
                </wp:positionH>
                <wp:positionV relativeFrom="paragraph">
                  <wp:posOffset>166370</wp:posOffset>
                </wp:positionV>
                <wp:extent cx="210312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6A308F" id="Straight Connector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8pt,13.1pt" to="455.4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</w:p>
    <w:p w14:paraId="7D9A764F" w14:textId="3FE8DE59" w:rsidR="006766B3" w:rsidRDefault="006766B3" w:rsidP="006766B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Cynthia Lindquist, Vice Chair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Paul Richard, Commissioner</w:t>
      </w:r>
    </w:p>
    <w:p w14:paraId="0CD28225" w14:textId="77777777" w:rsidR="006766B3" w:rsidRDefault="006766B3" w:rsidP="006766B3">
      <w:pPr>
        <w:pStyle w:val="ListParagraph"/>
        <w:rPr>
          <w:sz w:val="24"/>
          <w:szCs w:val="24"/>
        </w:rPr>
      </w:pPr>
    </w:p>
    <w:p w14:paraId="3CB9670F" w14:textId="060BC6B3" w:rsidR="006766B3" w:rsidRPr="006766B3" w:rsidRDefault="006766B3" w:rsidP="006766B3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934DCD" wp14:editId="140584FB">
                <wp:simplePos x="0" y="0"/>
                <wp:positionH relativeFrom="column">
                  <wp:posOffset>3680460</wp:posOffset>
                </wp:positionH>
                <wp:positionV relativeFrom="paragraph">
                  <wp:posOffset>176530</wp:posOffset>
                </wp:positionV>
                <wp:extent cx="210312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3294C1" id="Straight Connector 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8pt,13.9pt" to="455.4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603619" wp14:editId="7E5670A4">
                <wp:simplePos x="0" y="0"/>
                <wp:positionH relativeFrom="column">
                  <wp:posOffset>449580</wp:posOffset>
                </wp:positionH>
                <wp:positionV relativeFrom="paragraph">
                  <wp:posOffset>176530</wp:posOffset>
                </wp:positionV>
                <wp:extent cx="233934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93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3E385A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4pt,13.9pt" to="219.6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490A070" w14:textId="5929D513" w:rsidR="006766B3" w:rsidRDefault="006766B3" w:rsidP="00297C8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David B. Anderson, Commissioner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F84FD01" w14:textId="7BEAB666" w:rsidR="006766B3" w:rsidRDefault="006766B3" w:rsidP="00297C86">
      <w:pPr>
        <w:pStyle w:val="ListParagraph"/>
        <w:rPr>
          <w:sz w:val="24"/>
          <w:szCs w:val="24"/>
        </w:rPr>
      </w:pPr>
    </w:p>
    <w:p w14:paraId="701ECB77" w14:textId="77777777" w:rsidR="006766B3" w:rsidRPr="006D604A" w:rsidRDefault="006766B3" w:rsidP="00297C86">
      <w:pPr>
        <w:pStyle w:val="ListParagraph"/>
        <w:rPr>
          <w:sz w:val="24"/>
          <w:szCs w:val="24"/>
        </w:rPr>
      </w:pPr>
    </w:p>
    <w:sectPr w:rsidR="006766B3" w:rsidRPr="006D604A" w:rsidSect="009D0FFD"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D261A" w14:textId="77777777" w:rsidR="00310180" w:rsidRDefault="00310180" w:rsidP="00E82109">
      <w:pPr>
        <w:spacing w:after="0" w:line="240" w:lineRule="auto"/>
      </w:pPr>
      <w:r>
        <w:separator/>
      </w:r>
    </w:p>
  </w:endnote>
  <w:endnote w:type="continuationSeparator" w:id="0">
    <w:p w14:paraId="64EEB7F1" w14:textId="77777777" w:rsidR="00310180" w:rsidRDefault="00310180" w:rsidP="00E82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B24FD" w14:textId="77777777" w:rsidR="00310180" w:rsidRDefault="00310180" w:rsidP="00E82109">
      <w:pPr>
        <w:spacing w:after="0" w:line="240" w:lineRule="auto"/>
      </w:pPr>
      <w:r>
        <w:separator/>
      </w:r>
    </w:p>
  </w:footnote>
  <w:footnote w:type="continuationSeparator" w:id="0">
    <w:p w14:paraId="5893E32B" w14:textId="77777777" w:rsidR="00310180" w:rsidRDefault="00310180" w:rsidP="00E82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DCC75" w14:textId="08296E13" w:rsidR="00E82109" w:rsidRDefault="00E82109" w:rsidP="00E82109">
    <w:pPr>
      <w:pStyle w:val="Header"/>
      <w:jc w:val="center"/>
    </w:pPr>
  </w:p>
  <w:p w14:paraId="5689A24F" w14:textId="77777777" w:rsidR="00E82109" w:rsidRDefault="00E821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CF179" w14:textId="547B91AF" w:rsidR="009D0FFD" w:rsidRDefault="0059078B">
    <w:pPr>
      <w:pStyle w:val="Header"/>
    </w:pPr>
    <w:r>
      <w:rPr>
        <w:noProof/>
      </w:rPr>
      <w:ptab w:relativeTo="margin" w:alignment="center" w:leader="none"/>
    </w:r>
    <w:r w:rsidR="009D0FFD">
      <w:rPr>
        <w:noProof/>
      </w:rPr>
      <w:drawing>
        <wp:inline distT="0" distB="0" distL="0" distR="0" wp14:anchorId="60A7D79F" wp14:editId="78D73237">
          <wp:extent cx="2362200" cy="584200"/>
          <wp:effectExtent l="0" t="0" r="0" b="6350"/>
          <wp:docPr id="3" name="Picture 3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,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35799" cy="6024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6C7E"/>
    <w:multiLevelType w:val="hybridMultilevel"/>
    <w:tmpl w:val="FE00C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B542E"/>
    <w:multiLevelType w:val="hybridMultilevel"/>
    <w:tmpl w:val="64DCC8AA"/>
    <w:lvl w:ilvl="0" w:tplc="967C959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975DA"/>
    <w:multiLevelType w:val="hybridMultilevel"/>
    <w:tmpl w:val="40B84010"/>
    <w:lvl w:ilvl="0" w:tplc="518837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2527B6"/>
    <w:multiLevelType w:val="hybridMultilevel"/>
    <w:tmpl w:val="EA6821B2"/>
    <w:lvl w:ilvl="0" w:tplc="DB446A1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BD6094E"/>
    <w:multiLevelType w:val="hybridMultilevel"/>
    <w:tmpl w:val="27427FE8"/>
    <w:lvl w:ilvl="0" w:tplc="35F0A94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48D270B"/>
    <w:multiLevelType w:val="hybridMultilevel"/>
    <w:tmpl w:val="366635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1E08D9"/>
    <w:multiLevelType w:val="hybridMultilevel"/>
    <w:tmpl w:val="63AE99FA"/>
    <w:lvl w:ilvl="0" w:tplc="8F788AB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DA7A1F"/>
    <w:multiLevelType w:val="hybridMultilevel"/>
    <w:tmpl w:val="DDFEF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348F0"/>
    <w:multiLevelType w:val="hybridMultilevel"/>
    <w:tmpl w:val="4AFE6050"/>
    <w:lvl w:ilvl="0" w:tplc="B0A2BC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A728E9C">
      <w:start w:val="1"/>
      <w:numFmt w:val="decimal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8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AEB"/>
    <w:rsid w:val="00012E3E"/>
    <w:rsid w:val="00056B54"/>
    <w:rsid w:val="000A19CB"/>
    <w:rsid w:val="000C3B81"/>
    <w:rsid w:val="000C51FE"/>
    <w:rsid w:val="00167C79"/>
    <w:rsid w:val="00175B72"/>
    <w:rsid w:val="00195F8F"/>
    <w:rsid w:val="001D05F1"/>
    <w:rsid w:val="002049B1"/>
    <w:rsid w:val="00233EC3"/>
    <w:rsid w:val="00282F7A"/>
    <w:rsid w:val="00290EDD"/>
    <w:rsid w:val="00297C86"/>
    <w:rsid w:val="002B063C"/>
    <w:rsid w:val="002C3750"/>
    <w:rsid w:val="002D54B7"/>
    <w:rsid w:val="00306950"/>
    <w:rsid w:val="00310180"/>
    <w:rsid w:val="003A453D"/>
    <w:rsid w:val="00402A5B"/>
    <w:rsid w:val="00480AA2"/>
    <w:rsid w:val="00494814"/>
    <w:rsid w:val="004B0A33"/>
    <w:rsid w:val="004D6CEB"/>
    <w:rsid w:val="004D7998"/>
    <w:rsid w:val="00503CC0"/>
    <w:rsid w:val="00514DEC"/>
    <w:rsid w:val="005246AF"/>
    <w:rsid w:val="00541C78"/>
    <w:rsid w:val="0059078B"/>
    <w:rsid w:val="005E2753"/>
    <w:rsid w:val="005E5577"/>
    <w:rsid w:val="005F1C2E"/>
    <w:rsid w:val="00666881"/>
    <w:rsid w:val="006766B3"/>
    <w:rsid w:val="006B4C44"/>
    <w:rsid w:val="006D604A"/>
    <w:rsid w:val="007731C8"/>
    <w:rsid w:val="007F1D04"/>
    <w:rsid w:val="0085674F"/>
    <w:rsid w:val="0089242F"/>
    <w:rsid w:val="008E0AEB"/>
    <w:rsid w:val="009247CF"/>
    <w:rsid w:val="00931588"/>
    <w:rsid w:val="009D0FFD"/>
    <w:rsid w:val="00A23E44"/>
    <w:rsid w:val="00A2535B"/>
    <w:rsid w:val="00A43C8F"/>
    <w:rsid w:val="00A657EA"/>
    <w:rsid w:val="00A932F3"/>
    <w:rsid w:val="00AA461D"/>
    <w:rsid w:val="00B152FB"/>
    <w:rsid w:val="00B20B9A"/>
    <w:rsid w:val="00B25956"/>
    <w:rsid w:val="00B32F9B"/>
    <w:rsid w:val="00B54B72"/>
    <w:rsid w:val="00B613FF"/>
    <w:rsid w:val="00B64ACB"/>
    <w:rsid w:val="00BF284F"/>
    <w:rsid w:val="00CA3272"/>
    <w:rsid w:val="00CC1E79"/>
    <w:rsid w:val="00CE56C7"/>
    <w:rsid w:val="00CE6AF8"/>
    <w:rsid w:val="00D6450A"/>
    <w:rsid w:val="00DD5E7A"/>
    <w:rsid w:val="00E24BD8"/>
    <w:rsid w:val="00E5160D"/>
    <w:rsid w:val="00E63C64"/>
    <w:rsid w:val="00E64E73"/>
    <w:rsid w:val="00E82109"/>
    <w:rsid w:val="00EE290B"/>
    <w:rsid w:val="00F15DDB"/>
    <w:rsid w:val="00F27D5F"/>
    <w:rsid w:val="00F504D2"/>
    <w:rsid w:val="00F8629D"/>
    <w:rsid w:val="00F91C08"/>
    <w:rsid w:val="00FC348F"/>
    <w:rsid w:val="00FD151B"/>
    <w:rsid w:val="00FE68E6"/>
    <w:rsid w:val="227B60B1"/>
    <w:rsid w:val="4F0DE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870C4B"/>
  <w15:chartTrackingRefBased/>
  <w15:docId w15:val="{020A461C-1746-49AE-B912-DD383599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C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821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210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8210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821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109"/>
  </w:style>
  <w:style w:type="paragraph" w:styleId="Footer">
    <w:name w:val="footer"/>
    <w:basedOn w:val="Normal"/>
    <w:link w:val="FooterChar"/>
    <w:uiPriority w:val="99"/>
    <w:unhideWhenUsed/>
    <w:rsid w:val="00E821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109"/>
  </w:style>
  <w:style w:type="paragraph" w:styleId="ListParagraph">
    <w:name w:val="List Paragraph"/>
    <w:basedOn w:val="Normal"/>
    <w:uiPriority w:val="34"/>
    <w:qFormat/>
    <w:rsid w:val="00E821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5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35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D151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151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13F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D05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1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9E9BA2EB6DF741B04EE96414B1491E" ma:contentTypeVersion="0" ma:contentTypeDescription="Create a new document." ma:contentTypeScope="" ma:versionID="870340a3ab56da4f9157c39b289dce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30E2D5-0D94-4126-8CE8-92ACFF9706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4340B7-CB45-46C9-A65D-722E05A85F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23BF92-A9D4-4206-ACE7-BDEB3BD830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E77D2C-EAB1-4823-A7F2-CEE0143B1A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2262</Characters>
  <Application>Microsoft Office Word</Application>
  <DocSecurity>0</DocSecurity>
  <Lines>42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North Dakota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Goodman, Ronald E.</dc:creator>
  <cp:keywords/>
  <dc:description/>
  <cp:lastModifiedBy>Thiele, David L.</cp:lastModifiedBy>
  <cp:revision>2</cp:revision>
  <cp:lastPrinted>2020-06-11T16:01:00Z</cp:lastPrinted>
  <dcterms:created xsi:type="dcterms:W3CDTF">2021-10-18T19:06:00Z</dcterms:created>
  <dcterms:modified xsi:type="dcterms:W3CDTF">2021-10-18T19:06:00Z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0x010100D99E9BA2EB6DF741B04EE96414B1491E</vt:lpwstr>
  </property>
</Properties>
</file>