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1856" w14:textId="77777777" w:rsidR="00960CFE" w:rsidRDefault="00960CFE" w:rsidP="00A8727E">
      <w:pPr>
        <w:rPr>
          <w:rFonts w:ascii="Calibri" w:eastAsia="Calibri" w:hAnsi="Calibri" w:cs="Times New Roman"/>
          <w:sz w:val="32"/>
          <w:szCs w:val="32"/>
        </w:rPr>
      </w:pPr>
    </w:p>
    <w:p w14:paraId="22DC4323" w14:textId="017D815A" w:rsidR="0066283A" w:rsidRPr="0066283A" w:rsidRDefault="0066283A" w:rsidP="00960CFE">
      <w:pPr>
        <w:ind w:left="1440" w:firstLine="720"/>
        <w:rPr>
          <w:rFonts w:ascii="Calibri" w:eastAsia="Calibri" w:hAnsi="Calibri" w:cs="Times New Roman"/>
          <w:b/>
          <w:sz w:val="32"/>
          <w:szCs w:val="32"/>
        </w:rPr>
      </w:pPr>
      <w:r w:rsidRPr="0066283A">
        <w:rPr>
          <w:rFonts w:ascii="Calibri" w:eastAsia="Calibri" w:hAnsi="Calibri" w:cs="Times New Roman"/>
          <w:sz w:val="32"/>
          <w:szCs w:val="32"/>
        </w:rPr>
        <w:t>North Dakota Ethics Commission Meeting</w:t>
      </w:r>
    </w:p>
    <w:p w14:paraId="77085494" w14:textId="59B1D8C7" w:rsidR="0066283A" w:rsidRPr="00563183" w:rsidRDefault="0066283A" w:rsidP="0066283A">
      <w:pPr>
        <w:jc w:val="center"/>
        <w:rPr>
          <w:rFonts w:eastAsia="Calibri" w:cstheme="minorHAnsi"/>
          <w:sz w:val="24"/>
          <w:szCs w:val="24"/>
        </w:rPr>
      </w:pPr>
      <w:r w:rsidRPr="00563183">
        <w:rPr>
          <w:rFonts w:eastAsia="Calibri" w:cstheme="minorHAnsi"/>
          <w:sz w:val="24"/>
          <w:szCs w:val="24"/>
        </w:rPr>
        <w:t xml:space="preserve">Minutes of </w:t>
      </w:r>
      <w:r w:rsidR="004F01E6" w:rsidRPr="00563183">
        <w:rPr>
          <w:rFonts w:eastAsia="Calibri" w:cstheme="minorHAnsi"/>
          <w:sz w:val="24"/>
          <w:szCs w:val="24"/>
        </w:rPr>
        <w:t>December 15</w:t>
      </w:r>
      <w:r w:rsidR="00615320" w:rsidRPr="00563183">
        <w:rPr>
          <w:rFonts w:eastAsia="Calibri" w:cstheme="minorHAnsi"/>
          <w:sz w:val="24"/>
          <w:szCs w:val="24"/>
        </w:rPr>
        <w:t>, 2021</w:t>
      </w:r>
    </w:p>
    <w:p w14:paraId="15A19AD1" w14:textId="5DEE26D9" w:rsidR="0066283A" w:rsidRPr="00563183" w:rsidRDefault="00162E6A" w:rsidP="002279E5">
      <w:pPr>
        <w:tabs>
          <w:tab w:val="left" w:pos="0"/>
        </w:tabs>
        <w:jc w:val="center"/>
        <w:rPr>
          <w:rFonts w:eastAsia="Calibri" w:cstheme="minorHAnsi"/>
          <w:sz w:val="24"/>
          <w:szCs w:val="24"/>
        </w:rPr>
      </w:pPr>
      <w:r w:rsidRPr="00563183">
        <w:rPr>
          <w:rFonts w:eastAsia="Calibri" w:cstheme="minorHAnsi"/>
          <w:sz w:val="24"/>
          <w:szCs w:val="24"/>
        </w:rPr>
        <w:t>Live Stream MS Teams</w:t>
      </w:r>
    </w:p>
    <w:p w14:paraId="373D501F" w14:textId="77777777" w:rsidR="0066283A" w:rsidRPr="00563183" w:rsidRDefault="0066283A" w:rsidP="0066283A">
      <w:pPr>
        <w:rPr>
          <w:rFonts w:eastAsia="Calibri" w:cstheme="minorHAnsi"/>
          <w:sz w:val="24"/>
          <w:szCs w:val="24"/>
        </w:rPr>
      </w:pPr>
    </w:p>
    <w:p w14:paraId="0C248D89" w14:textId="4A8F4A10" w:rsidR="005A5B15" w:rsidRPr="00563183" w:rsidRDefault="007E3314" w:rsidP="00171757">
      <w:pPr>
        <w:numPr>
          <w:ilvl w:val="0"/>
          <w:numId w:val="1"/>
        </w:numPr>
        <w:contextualSpacing/>
        <w:jc w:val="both"/>
        <w:rPr>
          <w:rFonts w:eastAsia="Calibri" w:cstheme="minorHAnsi"/>
          <w:sz w:val="24"/>
          <w:szCs w:val="24"/>
        </w:rPr>
      </w:pPr>
      <w:r w:rsidRPr="00563183">
        <w:rPr>
          <w:rFonts w:eastAsia="Calibri" w:cstheme="minorHAnsi"/>
          <w:sz w:val="24"/>
          <w:szCs w:val="24"/>
          <w:u w:val="single"/>
        </w:rPr>
        <w:t>Call to Order:</w:t>
      </w:r>
      <w:r w:rsidRPr="00563183">
        <w:rPr>
          <w:rFonts w:eastAsia="Calibri" w:cstheme="minorHAnsi"/>
          <w:sz w:val="24"/>
          <w:szCs w:val="24"/>
        </w:rPr>
        <w:t xml:space="preserve">  </w:t>
      </w:r>
      <w:r w:rsidR="0066283A" w:rsidRPr="00563183">
        <w:rPr>
          <w:rFonts w:eastAsia="Calibri" w:cstheme="minorHAnsi"/>
          <w:sz w:val="24"/>
          <w:szCs w:val="24"/>
        </w:rPr>
        <w:t xml:space="preserve">The meeting was called to order by </w:t>
      </w:r>
      <w:r w:rsidR="004F01E6" w:rsidRPr="00563183">
        <w:rPr>
          <w:rFonts w:eastAsia="Calibri" w:cstheme="minorHAnsi"/>
          <w:sz w:val="24"/>
          <w:szCs w:val="24"/>
        </w:rPr>
        <w:t xml:space="preserve">Vice </w:t>
      </w:r>
      <w:r w:rsidR="0066283A" w:rsidRPr="00563183">
        <w:rPr>
          <w:rFonts w:eastAsia="Calibri" w:cstheme="minorHAnsi"/>
          <w:sz w:val="24"/>
          <w:szCs w:val="24"/>
        </w:rPr>
        <w:t xml:space="preserve">Chair </w:t>
      </w:r>
      <w:r w:rsidR="004F01E6" w:rsidRPr="00563183">
        <w:rPr>
          <w:rFonts w:eastAsia="Calibri" w:cstheme="minorHAnsi"/>
          <w:sz w:val="24"/>
          <w:szCs w:val="24"/>
        </w:rPr>
        <w:t>Cynthia Lindquist</w:t>
      </w:r>
      <w:r w:rsidR="0066283A" w:rsidRPr="00563183">
        <w:rPr>
          <w:rFonts w:eastAsia="Calibri" w:cstheme="minorHAnsi"/>
          <w:sz w:val="24"/>
          <w:szCs w:val="24"/>
        </w:rPr>
        <w:t xml:space="preserve">, at </w:t>
      </w:r>
      <w:r w:rsidR="00B91380" w:rsidRPr="00563183">
        <w:rPr>
          <w:rFonts w:eastAsia="Calibri" w:cstheme="minorHAnsi"/>
          <w:sz w:val="24"/>
          <w:szCs w:val="24"/>
        </w:rPr>
        <w:t>9</w:t>
      </w:r>
      <w:r w:rsidR="0066283A" w:rsidRPr="00563183">
        <w:rPr>
          <w:rFonts w:eastAsia="Calibri" w:cstheme="minorHAnsi"/>
          <w:sz w:val="24"/>
          <w:szCs w:val="24"/>
        </w:rPr>
        <w:t>:0</w:t>
      </w:r>
      <w:r w:rsidR="00524ED1" w:rsidRPr="00563183">
        <w:rPr>
          <w:rFonts w:eastAsia="Calibri" w:cstheme="minorHAnsi"/>
          <w:sz w:val="24"/>
          <w:szCs w:val="24"/>
        </w:rPr>
        <w:t>0</w:t>
      </w:r>
      <w:r w:rsidR="0066283A" w:rsidRPr="00563183">
        <w:rPr>
          <w:rFonts w:eastAsia="Calibri" w:cstheme="minorHAnsi"/>
          <w:sz w:val="24"/>
          <w:szCs w:val="24"/>
        </w:rPr>
        <w:t xml:space="preserve"> </w:t>
      </w:r>
      <w:r w:rsidR="00B91380" w:rsidRPr="00563183">
        <w:rPr>
          <w:rFonts w:eastAsia="Calibri" w:cstheme="minorHAnsi"/>
          <w:sz w:val="24"/>
          <w:szCs w:val="24"/>
        </w:rPr>
        <w:t>a</w:t>
      </w:r>
      <w:r w:rsidR="0066283A" w:rsidRPr="00563183">
        <w:rPr>
          <w:rFonts w:eastAsia="Calibri" w:cstheme="minorHAnsi"/>
          <w:sz w:val="24"/>
          <w:szCs w:val="24"/>
        </w:rPr>
        <w:t xml:space="preserve">.m. The following members of the Ethics Commission were present:  </w:t>
      </w:r>
      <w:r w:rsidR="00B91380" w:rsidRPr="00563183">
        <w:rPr>
          <w:rFonts w:eastAsia="Calibri" w:cstheme="minorHAnsi"/>
          <w:sz w:val="24"/>
          <w:szCs w:val="24"/>
        </w:rPr>
        <w:t>Paul Richard,</w:t>
      </w:r>
      <w:r w:rsidR="00460EF4" w:rsidRPr="00563183">
        <w:rPr>
          <w:rFonts w:eastAsia="Calibri" w:cstheme="minorHAnsi"/>
          <w:sz w:val="24"/>
          <w:szCs w:val="24"/>
        </w:rPr>
        <w:t xml:space="preserve"> </w:t>
      </w:r>
      <w:r w:rsidR="004D681E" w:rsidRPr="00563183">
        <w:rPr>
          <w:rFonts w:eastAsia="Calibri" w:cstheme="minorHAnsi"/>
          <w:sz w:val="24"/>
          <w:szCs w:val="24"/>
        </w:rPr>
        <w:t xml:space="preserve">Ward Koeser </w:t>
      </w:r>
      <w:r w:rsidR="00795C6C" w:rsidRPr="00563183">
        <w:rPr>
          <w:rFonts w:eastAsia="Calibri" w:cstheme="minorHAnsi"/>
          <w:sz w:val="24"/>
          <w:szCs w:val="24"/>
        </w:rPr>
        <w:t xml:space="preserve">and </w:t>
      </w:r>
      <w:r w:rsidR="0066283A" w:rsidRPr="00563183">
        <w:rPr>
          <w:rFonts w:eastAsia="Calibri" w:cstheme="minorHAnsi"/>
          <w:sz w:val="24"/>
          <w:szCs w:val="24"/>
        </w:rPr>
        <w:t>David Anderson</w:t>
      </w:r>
      <w:r w:rsidR="00BA0D1A" w:rsidRPr="00563183">
        <w:rPr>
          <w:rFonts w:eastAsia="Calibri" w:cstheme="minorHAnsi"/>
          <w:sz w:val="24"/>
          <w:szCs w:val="24"/>
        </w:rPr>
        <w:t xml:space="preserve">. </w:t>
      </w:r>
      <w:r w:rsidR="004D681E" w:rsidRPr="00563183">
        <w:rPr>
          <w:rFonts w:eastAsia="Calibri" w:cstheme="minorHAnsi"/>
          <w:sz w:val="24"/>
          <w:szCs w:val="24"/>
        </w:rPr>
        <w:t xml:space="preserve"> </w:t>
      </w:r>
      <w:r w:rsidR="0066283A" w:rsidRPr="00563183">
        <w:rPr>
          <w:rFonts w:eastAsia="Calibri" w:cstheme="minorHAnsi"/>
          <w:sz w:val="24"/>
          <w:szCs w:val="24"/>
        </w:rPr>
        <w:t xml:space="preserve">Also present </w:t>
      </w:r>
      <w:r w:rsidR="00E7644E" w:rsidRPr="00563183">
        <w:rPr>
          <w:rFonts w:eastAsia="Calibri" w:cstheme="minorHAnsi"/>
          <w:sz w:val="24"/>
          <w:szCs w:val="24"/>
        </w:rPr>
        <w:t>were</w:t>
      </w:r>
      <w:r w:rsidR="0066283A" w:rsidRPr="00563183">
        <w:rPr>
          <w:rFonts w:eastAsia="Calibri" w:cstheme="minorHAnsi"/>
          <w:sz w:val="24"/>
          <w:szCs w:val="24"/>
        </w:rPr>
        <w:t xml:space="preserve"> Ethics Commission legal counsel Allyson M. Hicks, </w:t>
      </w:r>
      <w:r w:rsidR="00E7644E" w:rsidRPr="00563183">
        <w:rPr>
          <w:rFonts w:eastAsia="Calibri" w:cstheme="minorHAnsi"/>
          <w:sz w:val="24"/>
          <w:szCs w:val="24"/>
        </w:rPr>
        <w:t xml:space="preserve">Executive Director </w:t>
      </w:r>
      <w:r w:rsidR="0066283A" w:rsidRPr="00563183">
        <w:rPr>
          <w:rFonts w:eastAsia="Calibri" w:cstheme="minorHAnsi"/>
          <w:sz w:val="24"/>
          <w:szCs w:val="24"/>
        </w:rPr>
        <w:t>Dave Thiele,</w:t>
      </w:r>
      <w:r w:rsidR="00162E6A" w:rsidRPr="00563183">
        <w:rPr>
          <w:rFonts w:eastAsia="Calibri" w:cstheme="minorHAnsi"/>
          <w:sz w:val="24"/>
          <w:szCs w:val="24"/>
        </w:rPr>
        <w:t xml:space="preserve"> and </w:t>
      </w:r>
      <w:r w:rsidR="00E7644E" w:rsidRPr="00563183">
        <w:rPr>
          <w:rFonts w:eastAsia="Calibri" w:cstheme="minorHAnsi"/>
          <w:sz w:val="24"/>
          <w:szCs w:val="24"/>
        </w:rPr>
        <w:t xml:space="preserve">Office Manager </w:t>
      </w:r>
      <w:r w:rsidR="00162E6A" w:rsidRPr="00563183">
        <w:rPr>
          <w:rFonts w:eastAsia="Calibri" w:cstheme="minorHAnsi"/>
          <w:sz w:val="24"/>
          <w:szCs w:val="24"/>
        </w:rPr>
        <w:t>Holly Gaugler</w:t>
      </w:r>
      <w:r w:rsidR="0066283A" w:rsidRPr="00563183">
        <w:rPr>
          <w:rFonts w:eastAsia="Calibri" w:cstheme="minorHAnsi"/>
          <w:sz w:val="24"/>
          <w:szCs w:val="24"/>
        </w:rPr>
        <w:t xml:space="preserve">. </w:t>
      </w:r>
      <w:r w:rsidR="000E25A2" w:rsidRPr="00563183">
        <w:rPr>
          <w:rFonts w:eastAsia="Calibri" w:cstheme="minorHAnsi"/>
          <w:sz w:val="24"/>
          <w:szCs w:val="24"/>
        </w:rPr>
        <w:t>Chair Ron Goodman was not present.</w:t>
      </w:r>
    </w:p>
    <w:p w14:paraId="198E4FF7" w14:textId="0FC177FB" w:rsidR="004D681E" w:rsidRPr="00563183" w:rsidRDefault="0066283A" w:rsidP="005A5B15">
      <w:pPr>
        <w:ind w:left="360"/>
        <w:contextualSpacing/>
        <w:jc w:val="both"/>
        <w:rPr>
          <w:rFonts w:eastAsia="Calibri" w:cstheme="minorHAnsi"/>
          <w:sz w:val="24"/>
          <w:szCs w:val="24"/>
        </w:rPr>
      </w:pPr>
      <w:r w:rsidRPr="00563183">
        <w:rPr>
          <w:rFonts w:eastAsia="Calibri" w:cstheme="minorHAnsi"/>
          <w:sz w:val="24"/>
          <w:szCs w:val="24"/>
        </w:rPr>
        <w:t xml:space="preserve"> </w:t>
      </w:r>
      <w:r w:rsidR="00B91380" w:rsidRPr="00563183">
        <w:rPr>
          <w:rFonts w:eastAsia="Calibri" w:cstheme="minorHAnsi"/>
          <w:sz w:val="24"/>
          <w:szCs w:val="24"/>
        </w:rPr>
        <w:t xml:space="preserve"> </w:t>
      </w:r>
    </w:p>
    <w:p w14:paraId="46303968" w14:textId="3E3093DC" w:rsidR="006C57BF" w:rsidRPr="00563183" w:rsidRDefault="007E3314" w:rsidP="00167E60">
      <w:pPr>
        <w:numPr>
          <w:ilvl w:val="0"/>
          <w:numId w:val="1"/>
        </w:numPr>
        <w:contextualSpacing/>
        <w:jc w:val="both"/>
        <w:rPr>
          <w:rFonts w:eastAsia="Calibri" w:cstheme="minorHAnsi"/>
          <w:sz w:val="24"/>
          <w:szCs w:val="24"/>
        </w:rPr>
      </w:pPr>
      <w:r w:rsidRPr="00563183">
        <w:rPr>
          <w:rFonts w:eastAsia="Calibri" w:cstheme="minorHAnsi"/>
          <w:sz w:val="24"/>
          <w:szCs w:val="24"/>
          <w:u w:val="single"/>
        </w:rPr>
        <w:t>Approval of Agenda</w:t>
      </w:r>
      <w:r w:rsidRPr="00563183">
        <w:rPr>
          <w:rFonts w:eastAsia="Calibri" w:cstheme="minorHAnsi"/>
          <w:sz w:val="24"/>
          <w:szCs w:val="24"/>
        </w:rPr>
        <w:t xml:space="preserve">: </w:t>
      </w:r>
      <w:r w:rsidR="002349F4" w:rsidRPr="00563183">
        <w:rPr>
          <w:rFonts w:eastAsia="Calibri" w:cstheme="minorHAnsi"/>
          <w:sz w:val="24"/>
          <w:szCs w:val="24"/>
        </w:rPr>
        <w:t xml:space="preserve">The agenda </w:t>
      </w:r>
      <w:r w:rsidR="00B91380" w:rsidRPr="00563183">
        <w:rPr>
          <w:rFonts w:eastAsia="Calibri" w:cstheme="minorHAnsi"/>
          <w:sz w:val="24"/>
          <w:szCs w:val="24"/>
        </w:rPr>
        <w:t>was discussed</w:t>
      </w:r>
      <w:r w:rsidR="002349F4" w:rsidRPr="00563183">
        <w:rPr>
          <w:rFonts w:eastAsia="Calibri" w:cstheme="minorHAnsi"/>
          <w:sz w:val="24"/>
          <w:szCs w:val="24"/>
        </w:rPr>
        <w:t xml:space="preserve"> for this meeting</w:t>
      </w:r>
      <w:r w:rsidR="007262C4" w:rsidRPr="00563183">
        <w:rPr>
          <w:rFonts w:eastAsia="Calibri" w:cstheme="minorHAnsi"/>
          <w:sz w:val="24"/>
          <w:szCs w:val="24"/>
        </w:rPr>
        <w:t xml:space="preserve"> </w:t>
      </w:r>
      <w:r w:rsidR="000E25A2" w:rsidRPr="00563183">
        <w:rPr>
          <w:rFonts w:eastAsia="Calibri" w:cstheme="minorHAnsi"/>
          <w:sz w:val="24"/>
          <w:szCs w:val="24"/>
        </w:rPr>
        <w:t>with no additions.</w:t>
      </w:r>
    </w:p>
    <w:p w14:paraId="7167A3ED" w14:textId="77777777" w:rsidR="00167E60" w:rsidRPr="00563183" w:rsidRDefault="00167E60" w:rsidP="00167E60">
      <w:pPr>
        <w:contextualSpacing/>
        <w:jc w:val="both"/>
        <w:rPr>
          <w:rFonts w:eastAsia="Calibri" w:cstheme="minorHAnsi"/>
          <w:sz w:val="24"/>
          <w:szCs w:val="24"/>
        </w:rPr>
      </w:pPr>
    </w:p>
    <w:p w14:paraId="239EC48F" w14:textId="6D3CADC7" w:rsidR="0066283A" w:rsidRPr="00563183" w:rsidRDefault="007E3314" w:rsidP="008837E8">
      <w:pPr>
        <w:numPr>
          <w:ilvl w:val="0"/>
          <w:numId w:val="1"/>
        </w:numPr>
        <w:contextualSpacing/>
        <w:jc w:val="both"/>
        <w:rPr>
          <w:rFonts w:eastAsia="Calibri" w:cstheme="minorHAnsi"/>
          <w:sz w:val="24"/>
          <w:szCs w:val="24"/>
        </w:rPr>
      </w:pPr>
      <w:r w:rsidRPr="00563183">
        <w:rPr>
          <w:rFonts w:eastAsia="Calibri" w:cstheme="minorHAnsi"/>
          <w:sz w:val="24"/>
          <w:szCs w:val="24"/>
          <w:u w:val="single"/>
        </w:rPr>
        <w:t>Approval of Minutes</w:t>
      </w:r>
      <w:r w:rsidRPr="00563183">
        <w:rPr>
          <w:rFonts w:eastAsia="Calibri" w:cstheme="minorHAnsi"/>
          <w:sz w:val="24"/>
          <w:szCs w:val="24"/>
        </w:rPr>
        <w:t xml:space="preserve">: </w:t>
      </w:r>
      <w:r w:rsidR="00B91380" w:rsidRPr="00563183">
        <w:rPr>
          <w:rFonts w:eastAsia="Calibri" w:cstheme="minorHAnsi"/>
          <w:sz w:val="24"/>
          <w:szCs w:val="24"/>
        </w:rPr>
        <w:t xml:space="preserve">The minutes of the </w:t>
      </w:r>
      <w:r w:rsidR="000E25A2" w:rsidRPr="00563183">
        <w:rPr>
          <w:rFonts w:eastAsia="Calibri" w:cstheme="minorHAnsi"/>
          <w:sz w:val="24"/>
          <w:szCs w:val="24"/>
        </w:rPr>
        <w:t>20</w:t>
      </w:r>
      <w:r w:rsidR="00524ED1" w:rsidRPr="00563183">
        <w:rPr>
          <w:rFonts w:eastAsia="Calibri" w:cstheme="minorHAnsi"/>
          <w:sz w:val="24"/>
          <w:szCs w:val="24"/>
        </w:rPr>
        <w:t xml:space="preserve"> </w:t>
      </w:r>
      <w:r w:rsidR="000E25A2" w:rsidRPr="00563183">
        <w:rPr>
          <w:rFonts w:eastAsia="Calibri" w:cstheme="minorHAnsi"/>
          <w:sz w:val="24"/>
          <w:szCs w:val="24"/>
        </w:rPr>
        <w:t>October</w:t>
      </w:r>
      <w:r w:rsidR="007262C4" w:rsidRPr="00563183">
        <w:rPr>
          <w:rFonts w:eastAsia="Calibri" w:cstheme="minorHAnsi"/>
          <w:sz w:val="24"/>
          <w:szCs w:val="24"/>
        </w:rPr>
        <w:t xml:space="preserve"> 2021</w:t>
      </w:r>
      <w:r w:rsidR="009459D6" w:rsidRPr="00563183">
        <w:rPr>
          <w:rFonts w:eastAsia="Calibri" w:cstheme="minorHAnsi"/>
          <w:sz w:val="24"/>
          <w:szCs w:val="24"/>
        </w:rPr>
        <w:t xml:space="preserve"> </w:t>
      </w:r>
      <w:r w:rsidR="00B91380" w:rsidRPr="00563183">
        <w:rPr>
          <w:rFonts w:eastAsia="Calibri" w:cstheme="minorHAnsi"/>
          <w:sz w:val="24"/>
          <w:szCs w:val="24"/>
        </w:rPr>
        <w:t>meeting were discussed</w:t>
      </w:r>
      <w:r w:rsidR="007B0E0B" w:rsidRPr="00563183">
        <w:rPr>
          <w:rFonts w:eastAsia="Calibri" w:cstheme="minorHAnsi"/>
          <w:sz w:val="24"/>
          <w:szCs w:val="24"/>
        </w:rPr>
        <w:t xml:space="preserve"> with no changes.</w:t>
      </w:r>
    </w:p>
    <w:p w14:paraId="5A0121AC" w14:textId="41F9E441" w:rsidR="00077EC1" w:rsidRPr="00563183" w:rsidRDefault="009459D6" w:rsidP="008837E8">
      <w:pPr>
        <w:ind w:left="360"/>
        <w:contextualSpacing/>
        <w:jc w:val="both"/>
        <w:rPr>
          <w:rFonts w:eastAsia="Calibri" w:cstheme="minorHAnsi"/>
          <w:sz w:val="24"/>
          <w:szCs w:val="24"/>
        </w:rPr>
      </w:pPr>
      <w:r w:rsidRPr="00563183">
        <w:rPr>
          <w:rFonts w:eastAsia="Calibri" w:cstheme="minorHAnsi"/>
          <w:sz w:val="24"/>
          <w:szCs w:val="24"/>
        </w:rPr>
        <w:t xml:space="preserve"> </w:t>
      </w:r>
    </w:p>
    <w:p w14:paraId="4159010A" w14:textId="6E302E2F" w:rsidR="00210ACE" w:rsidRPr="00563183" w:rsidRDefault="0066283A" w:rsidP="00800312">
      <w:pPr>
        <w:ind w:left="1080" w:right="900"/>
        <w:contextualSpacing/>
        <w:jc w:val="both"/>
        <w:rPr>
          <w:rFonts w:eastAsia="Calibri" w:cstheme="minorHAnsi"/>
          <w:bCs/>
          <w:sz w:val="24"/>
          <w:szCs w:val="24"/>
        </w:rPr>
      </w:pPr>
      <w:bookmarkStart w:id="0" w:name="_Hlk36623567"/>
      <w:bookmarkStart w:id="1" w:name="_Hlk62737408"/>
      <w:r w:rsidRPr="00563183">
        <w:rPr>
          <w:rFonts w:eastAsia="Calibri" w:cstheme="minorHAnsi"/>
          <w:b/>
          <w:sz w:val="24"/>
          <w:szCs w:val="24"/>
          <w:u w:val="single"/>
        </w:rPr>
        <w:t>Motion:</w:t>
      </w:r>
      <w:r w:rsidRPr="00563183">
        <w:rPr>
          <w:rFonts w:eastAsia="Calibri" w:cstheme="minorHAnsi"/>
          <w:sz w:val="24"/>
          <w:szCs w:val="24"/>
        </w:rPr>
        <w:t xml:space="preserve">  </w:t>
      </w:r>
      <w:r w:rsidR="002D4574" w:rsidRPr="00563183">
        <w:rPr>
          <w:rFonts w:eastAsia="Calibri" w:cstheme="minorHAnsi"/>
          <w:sz w:val="24"/>
          <w:szCs w:val="24"/>
        </w:rPr>
        <w:t>Commissioner</w:t>
      </w:r>
      <w:r w:rsidR="00A83D1B" w:rsidRPr="00563183">
        <w:rPr>
          <w:rFonts w:eastAsia="Calibri" w:cstheme="minorHAnsi"/>
          <w:sz w:val="24"/>
          <w:szCs w:val="24"/>
        </w:rPr>
        <w:t xml:space="preserve"> </w:t>
      </w:r>
      <w:r w:rsidR="00ED0E4C" w:rsidRPr="00563183">
        <w:rPr>
          <w:rFonts w:eastAsia="Calibri" w:cstheme="minorHAnsi"/>
          <w:sz w:val="24"/>
          <w:szCs w:val="24"/>
        </w:rPr>
        <w:t>Richard</w:t>
      </w:r>
      <w:r w:rsidRPr="00563183">
        <w:rPr>
          <w:rFonts w:eastAsia="Calibri" w:cstheme="minorHAnsi"/>
          <w:sz w:val="24"/>
          <w:szCs w:val="24"/>
        </w:rPr>
        <w:t xml:space="preserve"> moved to approve the minutes of </w:t>
      </w:r>
      <w:r w:rsidR="000E25A2" w:rsidRPr="00563183">
        <w:rPr>
          <w:rFonts w:eastAsia="Calibri" w:cstheme="minorHAnsi"/>
          <w:sz w:val="24"/>
          <w:szCs w:val="24"/>
        </w:rPr>
        <w:t>October 20</w:t>
      </w:r>
      <w:r w:rsidR="007262C4" w:rsidRPr="00563183">
        <w:rPr>
          <w:rFonts w:eastAsia="Calibri" w:cstheme="minorHAnsi"/>
          <w:sz w:val="24"/>
          <w:szCs w:val="24"/>
        </w:rPr>
        <w:t xml:space="preserve">, </w:t>
      </w:r>
      <w:proofErr w:type="gramStart"/>
      <w:r w:rsidR="007262C4" w:rsidRPr="00563183">
        <w:rPr>
          <w:rFonts w:eastAsia="Calibri" w:cstheme="minorHAnsi"/>
          <w:sz w:val="24"/>
          <w:szCs w:val="24"/>
        </w:rPr>
        <w:t>2021</w:t>
      </w:r>
      <w:proofErr w:type="gramEnd"/>
      <w:r w:rsidR="00CF1282" w:rsidRPr="00563183">
        <w:rPr>
          <w:rFonts w:eastAsia="Calibri" w:cstheme="minorHAnsi"/>
          <w:sz w:val="24"/>
          <w:szCs w:val="24"/>
        </w:rPr>
        <w:t xml:space="preserve"> with </w:t>
      </w:r>
      <w:r w:rsidR="007B0E0B" w:rsidRPr="00563183">
        <w:rPr>
          <w:rFonts w:eastAsia="Calibri" w:cstheme="minorHAnsi"/>
          <w:sz w:val="24"/>
          <w:szCs w:val="24"/>
        </w:rPr>
        <w:t xml:space="preserve">no </w:t>
      </w:r>
      <w:r w:rsidR="00CF1282" w:rsidRPr="00563183">
        <w:rPr>
          <w:rFonts w:eastAsia="Calibri" w:cstheme="minorHAnsi"/>
          <w:sz w:val="24"/>
          <w:szCs w:val="24"/>
        </w:rPr>
        <w:t>correction</w:t>
      </w:r>
      <w:r w:rsidR="007B0E0B" w:rsidRPr="00563183">
        <w:rPr>
          <w:rFonts w:eastAsia="Calibri" w:cstheme="minorHAnsi"/>
          <w:sz w:val="24"/>
          <w:szCs w:val="24"/>
        </w:rPr>
        <w:t>s</w:t>
      </w:r>
      <w:r w:rsidRPr="00563183">
        <w:rPr>
          <w:rFonts w:eastAsia="Calibri" w:cstheme="minorHAnsi"/>
          <w:sz w:val="24"/>
          <w:szCs w:val="24"/>
        </w:rPr>
        <w:t xml:space="preserve">.  </w:t>
      </w:r>
      <w:bookmarkStart w:id="2" w:name="_Hlk34636288"/>
      <w:r w:rsidRPr="00563183">
        <w:rPr>
          <w:rFonts w:eastAsia="Calibri" w:cstheme="minorHAnsi"/>
          <w:sz w:val="24"/>
          <w:szCs w:val="24"/>
        </w:rPr>
        <w:t xml:space="preserve">Motion was seconded by </w:t>
      </w:r>
      <w:r w:rsidR="002D4574" w:rsidRPr="00563183">
        <w:rPr>
          <w:rFonts w:eastAsia="Calibri" w:cstheme="minorHAnsi"/>
          <w:sz w:val="24"/>
          <w:szCs w:val="24"/>
        </w:rPr>
        <w:t>Commissioner</w:t>
      </w:r>
      <w:r w:rsidR="00A4419D" w:rsidRPr="00563183">
        <w:rPr>
          <w:rFonts w:eastAsia="Calibri" w:cstheme="minorHAnsi"/>
          <w:sz w:val="24"/>
          <w:szCs w:val="24"/>
        </w:rPr>
        <w:t xml:space="preserve"> </w:t>
      </w:r>
      <w:r w:rsidR="00ED0E4C" w:rsidRPr="00563183">
        <w:rPr>
          <w:rFonts w:eastAsia="Calibri" w:cstheme="minorHAnsi"/>
          <w:sz w:val="24"/>
          <w:szCs w:val="24"/>
        </w:rPr>
        <w:t>Koeser</w:t>
      </w:r>
      <w:r w:rsidRPr="00563183">
        <w:rPr>
          <w:rFonts w:eastAsia="Calibri" w:cstheme="minorHAnsi"/>
          <w:sz w:val="24"/>
          <w:szCs w:val="24"/>
        </w:rPr>
        <w:t xml:space="preserve">. </w:t>
      </w:r>
      <w:r w:rsidR="000E25A2" w:rsidRPr="00563183">
        <w:rPr>
          <w:rFonts w:eastAsia="Calibri" w:cstheme="minorHAnsi"/>
          <w:sz w:val="24"/>
          <w:szCs w:val="24"/>
        </w:rPr>
        <w:t xml:space="preserve">Vice </w:t>
      </w:r>
      <w:r w:rsidRPr="00563183">
        <w:rPr>
          <w:rFonts w:eastAsia="Calibri" w:cstheme="minorHAnsi"/>
          <w:sz w:val="24"/>
          <w:szCs w:val="24"/>
        </w:rPr>
        <w:t xml:space="preserve">Chair </w:t>
      </w:r>
      <w:r w:rsidR="000E25A2" w:rsidRPr="00563183">
        <w:rPr>
          <w:rFonts w:eastAsia="Calibri" w:cstheme="minorHAnsi"/>
          <w:sz w:val="24"/>
          <w:szCs w:val="24"/>
        </w:rPr>
        <w:t>Lindquist</w:t>
      </w:r>
      <w:r w:rsidR="00B91380" w:rsidRPr="00563183">
        <w:rPr>
          <w:rFonts w:eastAsia="Calibri" w:cstheme="minorHAnsi"/>
          <w:sz w:val="24"/>
          <w:szCs w:val="24"/>
        </w:rPr>
        <w:t xml:space="preserve"> </w:t>
      </w:r>
      <w:r w:rsidRPr="00563183">
        <w:rPr>
          <w:rFonts w:eastAsia="Calibri" w:cstheme="minorHAnsi"/>
          <w:sz w:val="24"/>
          <w:szCs w:val="24"/>
        </w:rPr>
        <w:t xml:space="preserve">called for a voice vote on the motion.  </w:t>
      </w:r>
      <w:r w:rsidR="002349F4" w:rsidRPr="00563183">
        <w:rPr>
          <w:rFonts w:eastAsia="Calibri" w:cstheme="minorHAnsi"/>
          <w:sz w:val="24"/>
          <w:szCs w:val="24"/>
        </w:rPr>
        <w:t xml:space="preserve">The </w:t>
      </w:r>
      <w:r w:rsidR="00153658" w:rsidRPr="00563183">
        <w:rPr>
          <w:rFonts w:eastAsia="Calibri" w:cstheme="minorHAnsi"/>
          <w:bCs/>
          <w:sz w:val="24"/>
          <w:szCs w:val="24"/>
        </w:rPr>
        <w:t>m</w:t>
      </w:r>
      <w:r w:rsidR="002349F4" w:rsidRPr="00563183">
        <w:rPr>
          <w:rFonts w:eastAsia="Calibri" w:cstheme="minorHAnsi"/>
          <w:bCs/>
          <w:sz w:val="24"/>
          <w:szCs w:val="24"/>
        </w:rPr>
        <w:t>otion was approved by unanimous voice vote.</w:t>
      </w:r>
      <w:bookmarkEnd w:id="0"/>
      <w:bookmarkEnd w:id="1"/>
      <w:bookmarkEnd w:id="2"/>
    </w:p>
    <w:p w14:paraId="6BA34AC5" w14:textId="77777777" w:rsidR="00AC646C" w:rsidRPr="00563183" w:rsidRDefault="00AC646C" w:rsidP="00AC646C">
      <w:pPr>
        <w:pStyle w:val="ListParagraph"/>
        <w:tabs>
          <w:tab w:val="left" w:pos="360"/>
        </w:tabs>
        <w:ind w:left="360" w:right="180"/>
        <w:jc w:val="both"/>
        <w:rPr>
          <w:rFonts w:eastAsia="Calibri" w:cstheme="minorHAnsi"/>
          <w:sz w:val="24"/>
          <w:szCs w:val="24"/>
        </w:rPr>
      </w:pPr>
    </w:p>
    <w:p w14:paraId="7A9EDFB3" w14:textId="1140812B" w:rsidR="0098743A" w:rsidRPr="00563183" w:rsidRDefault="007E3314" w:rsidP="00227E13">
      <w:pPr>
        <w:pStyle w:val="ListParagraph"/>
        <w:numPr>
          <w:ilvl w:val="0"/>
          <w:numId w:val="1"/>
        </w:numPr>
        <w:tabs>
          <w:tab w:val="left" w:pos="360"/>
        </w:tabs>
        <w:ind w:right="180"/>
        <w:jc w:val="both"/>
        <w:rPr>
          <w:rFonts w:eastAsia="Calibri" w:cstheme="minorHAnsi"/>
          <w:sz w:val="24"/>
          <w:szCs w:val="24"/>
        </w:rPr>
      </w:pPr>
      <w:r w:rsidRPr="00563183">
        <w:rPr>
          <w:rFonts w:eastAsia="Calibri" w:cstheme="minorHAnsi"/>
          <w:sz w:val="24"/>
          <w:szCs w:val="24"/>
          <w:u w:val="single"/>
        </w:rPr>
        <w:t xml:space="preserve">Budget Update: </w:t>
      </w:r>
      <w:r w:rsidRPr="00563183">
        <w:rPr>
          <w:rFonts w:eastAsia="Calibri" w:cstheme="minorHAnsi"/>
          <w:sz w:val="24"/>
          <w:szCs w:val="24"/>
        </w:rPr>
        <w:t xml:space="preserve"> </w:t>
      </w:r>
      <w:r w:rsidR="003C5A7B" w:rsidRPr="00563183">
        <w:rPr>
          <w:rFonts w:eastAsia="Calibri" w:cstheme="minorHAnsi"/>
          <w:sz w:val="24"/>
          <w:szCs w:val="24"/>
        </w:rPr>
        <w:t xml:space="preserve">Office Manager Holly Gaugler provided a budget update as of </w:t>
      </w:r>
      <w:r w:rsidR="004D0C13" w:rsidRPr="00563183">
        <w:rPr>
          <w:rFonts w:eastAsia="Calibri" w:cstheme="minorHAnsi"/>
          <w:sz w:val="24"/>
          <w:szCs w:val="24"/>
        </w:rPr>
        <w:t>Nove</w:t>
      </w:r>
      <w:r w:rsidR="00FB42C2" w:rsidRPr="00563183">
        <w:rPr>
          <w:rFonts w:eastAsia="Calibri" w:cstheme="minorHAnsi"/>
          <w:sz w:val="24"/>
          <w:szCs w:val="24"/>
        </w:rPr>
        <w:t>mber 30</w:t>
      </w:r>
      <w:r w:rsidR="003C5A7B" w:rsidRPr="00563183">
        <w:rPr>
          <w:rFonts w:eastAsia="Calibri" w:cstheme="minorHAnsi"/>
          <w:sz w:val="24"/>
          <w:szCs w:val="24"/>
        </w:rPr>
        <w:t xml:space="preserve">, 2021. </w:t>
      </w:r>
      <w:r w:rsidR="003C5A7B" w:rsidRPr="00563183">
        <w:rPr>
          <w:rFonts w:cstheme="minorHAnsi"/>
          <w:sz w:val="24"/>
          <w:szCs w:val="24"/>
        </w:rPr>
        <w:t>Gaugler</w:t>
      </w:r>
      <w:r w:rsidR="003C5A7B" w:rsidRPr="00563183">
        <w:rPr>
          <w:rFonts w:eastAsia="Calibri" w:cstheme="minorHAnsi"/>
          <w:sz w:val="24"/>
          <w:szCs w:val="24"/>
        </w:rPr>
        <w:t xml:space="preserve"> reported </w:t>
      </w:r>
      <w:r w:rsidR="004D0C13" w:rsidRPr="00563183">
        <w:rPr>
          <w:rFonts w:eastAsia="Calibri" w:cstheme="minorHAnsi"/>
          <w:sz w:val="24"/>
          <w:szCs w:val="24"/>
        </w:rPr>
        <w:t>Nov</w:t>
      </w:r>
      <w:r w:rsidR="00FB42C2" w:rsidRPr="00563183">
        <w:rPr>
          <w:rFonts w:eastAsia="Calibri" w:cstheme="minorHAnsi"/>
          <w:sz w:val="24"/>
          <w:szCs w:val="24"/>
        </w:rPr>
        <w:t>ember</w:t>
      </w:r>
      <w:r w:rsidR="003C5A7B" w:rsidRPr="00563183">
        <w:rPr>
          <w:rFonts w:eastAsia="Calibri" w:cstheme="minorHAnsi"/>
          <w:sz w:val="24"/>
          <w:szCs w:val="24"/>
        </w:rPr>
        <w:t xml:space="preserve"> 2021 expenditures of $</w:t>
      </w:r>
      <w:r w:rsidR="00FD0995" w:rsidRPr="00563183">
        <w:rPr>
          <w:rFonts w:eastAsia="Calibri" w:cstheme="minorHAnsi"/>
          <w:sz w:val="24"/>
          <w:szCs w:val="24"/>
        </w:rPr>
        <w:t>2</w:t>
      </w:r>
      <w:r w:rsidR="00614FE5" w:rsidRPr="00563183">
        <w:rPr>
          <w:rFonts w:eastAsia="Calibri" w:cstheme="minorHAnsi"/>
          <w:sz w:val="24"/>
          <w:szCs w:val="24"/>
        </w:rPr>
        <w:t>1</w:t>
      </w:r>
      <w:r w:rsidR="00FD0995" w:rsidRPr="00563183">
        <w:rPr>
          <w:rFonts w:eastAsia="Calibri" w:cstheme="minorHAnsi"/>
          <w:sz w:val="24"/>
          <w:szCs w:val="24"/>
        </w:rPr>
        <w:t>,</w:t>
      </w:r>
      <w:r w:rsidR="004D0C13" w:rsidRPr="00563183">
        <w:rPr>
          <w:rFonts w:eastAsia="Calibri" w:cstheme="minorHAnsi"/>
          <w:sz w:val="24"/>
          <w:szCs w:val="24"/>
        </w:rPr>
        <w:t>038</w:t>
      </w:r>
      <w:r w:rsidR="003C5A7B" w:rsidRPr="00563183">
        <w:rPr>
          <w:rFonts w:eastAsia="Calibri" w:cstheme="minorHAnsi"/>
          <w:sz w:val="24"/>
          <w:szCs w:val="24"/>
        </w:rPr>
        <w:t xml:space="preserve"> </w:t>
      </w:r>
      <w:r w:rsidR="009D08A8" w:rsidRPr="00563183">
        <w:rPr>
          <w:rFonts w:eastAsia="Calibri" w:cstheme="minorHAnsi"/>
          <w:sz w:val="24"/>
          <w:szCs w:val="24"/>
        </w:rPr>
        <w:t>leaving</w:t>
      </w:r>
      <w:r w:rsidR="003C5A7B" w:rsidRPr="00563183">
        <w:rPr>
          <w:rFonts w:eastAsia="Calibri" w:cstheme="minorHAnsi"/>
          <w:sz w:val="24"/>
          <w:szCs w:val="24"/>
        </w:rPr>
        <w:t xml:space="preserve"> a remaining </w:t>
      </w:r>
      <w:r w:rsidR="009D08A8" w:rsidRPr="00563183">
        <w:rPr>
          <w:rFonts w:eastAsia="Calibri" w:cstheme="minorHAnsi"/>
          <w:sz w:val="24"/>
          <w:szCs w:val="24"/>
        </w:rPr>
        <w:t xml:space="preserve">biennial </w:t>
      </w:r>
      <w:r w:rsidR="003C5A7B" w:rsidRPr="00563183">
        <w:rPr>
          <w:rFonts w:eastAsia="Calibri" w:cstheme="minorHAnsi"/>
          <w:sz w:val="24"/>
          <w:szCs w:val="24"/>
        </w:rPr>
        <w:t>budget of $</w:t>
      </w:r>
      <w:r w:rsidR="00FB42C2" w:rsidRPr="00563183">
        <w:rPr>
          <w:rFonts w:eastAsia="Calibri" w:cstheme="minorHAnsi"/>
          <w:sz w:val="24"/>
          <w:szCs w:val="24"/>
        </w:rPr>
        <w:t>5</w:t>
      </w:r>
      <w:r w:rsidR="004D0C13" w:rsidRPr="00563183">
        <w:rPr>
          <w:rFonts w:eastAsia="Calibri" w:cstheme="minorHAnsi"/>
          <w:sz w:val="24"/>
          <w:szCs w:val="24"/>
        </w:rPr>
        <w:t>16</w:t>
      </w:r>
      <w:r w:rsidR="00FB42C2" w:rsidRPr="00563183">
        <w:rPr>
          <w:rFonts w:eastAsia="Calibri" w:cstheme="minorHAnsi"/>
          <w:sz w:val="24"/>
          <w:szCs w:val="24"/>
        </w:rPr>
        <w:t>,1</w:t>
      </w:r>
      <w:r w:rsidR="004D0C13" w:rsidRPr="00563183">
        <w:rPr>
          <w:rFonts w:eastAsia="Calibri" w:cstheme="minorHAnsi"/>
          <w:sz w:val="24"/>
          <w:szCs w:val="24"/>
        </w:rPr>
        <w:t>27</w:t>
      </w:r>
      <w:r w:rsidR="003C5A7B" w:rsidRPr="00563183">
        <w:rPr>
          <w:rFonts w:eastAsia="Calibri" w:cstheme="minorHAnsi"/>
          <w:sz w:val="24"/>
          <w:szCs w:val="24"/>
        </w:rPr>
        <w:t>. Gaugler also reported projected expenditures for the remainder of the biennium (</w:t>
      </w:r>
      <w:r w:rsidR="004D0C13" w:rsidRPr="00563183">
        <w:rPr>
          <w:rFonts w:eastAsia="Calibri" w:cstheme="minorHAnsi"/>
          <w:sz w:val="24"/>
          <w:szCs w:val="24"/>
        </w:rPr>
        <w:t>December</w:t>
      </w:r>
      <w:r w:rsidR="003C5A7B" w:rsidRPr="00563183">
        <w:rPr>
          <w:rFonts w:eastAsia="Calibri" w:cstheme="minorHAnsi"/>
          <w:sz w:val="24"/>
          <w:szCs w:val="24"/>
        </w:rPr>
        <w:t xml:space="preserve"> 1, </w:t>
      </w:r>
      <w:proofErr w:type="gramStart"/>
      <w:r w:rsidR="003C5A7B" w:rsidRPr="00563183">
        <w:rPr>
          <w:rFonts w:eastAsia="Calibri" w:cstheme="minorHAnsi"/>
          <w:sz w:val="24"/>
          <w:szCs w:val="24"/>
        </w:rPr>
        <w:t>2021</w:t>
      </w:r>
      <w:proofErr w:type="gramEnd"/>
      <w:r w:rsidR="003C5A7B" w:rsidRPr="00563183">
        <w:rPr>
          <w:rFonts w:eastAsia="Calibri" w:cstheme="minorHAnsi"/>
          <w:sz w:val="24"/>
          <w:szCs w:val="24"/>
        </w:rPr>
        <w:t xml:space="preserve"> through June 30,</w:t>
      </w:r>
      <w:r w:rsidR="009420B9" w:rsidRPr="00563183">
        <w:rPr>
          <w:rFonts w:eastAsia="Calibri" w:cstheme="minorHAnsi"/>
          <w:sz w:val="24"/>
          <w:szCs w:val="24"/>
        </w:rPr>
        <w:t xml:space="preserve"> </w:t>
      </w:r>
      <w:r w:rsidR="003C5A7B" w:rsidRPr="00563183">
        <w:rPr>
          <w:rFonts w:eastAsia="Calibri" w:cstheme="minorHAnsi"/>
          <w:sz w:val="24"/>
          <w:szCs w:val="24"/>
        </w:rPr>
        <w:t>202</w:t>
      </w:r>
      <w:r w:rsidR="00614FE5" w:rsidRPr="00563183">
        <w:rPr>
          <w:rFonts w:eastAsia="Calibri" w:cstheme="minorHAnsi"/>
          <w:sz w:val="24"/>
          <w:szCs w:val="24"/>
        </w:rPr>
        <w:t>3</w:t>
      </w:r>
      <w:r w:rsidR="003C5A7B" w:rsidRPr="00563183">
        <w:rPr>
          <w:rFonts w:eastAsia="Calibri" w:cstheme="minorHAnsi"/>
          <w:sz w:val="24"/>
          <w:szCs w:val="24"/>
        </w:rPr>
        <w:t>) at an estimated $</w:t>
      </w:r>
      <w:r w:rsidR="004D0C13" w:rsidRPr="00563183">
        <w:rPr>
          <w:rFonts w:eastAsia="Calibri" w:cstheme="minorHAnsi"/>
          <w:sz w:val="24"/>
          <w:szCs w:val="24"/>
        </w:rPr>
        <w:t>491,422</w:t>
      </w:r>
      <w:r w:rsidR="003C5A7B" w:rsidRPr="00563183">
        <w:rPr>
          <w:rFonts w:eastAsia="Calibri" w:cstheme="minorHAnsi"/>
          <w:sz w:val="24"/>
          <w:szCs w:val="24"/>
        </w:rPr>
        <w:t xml:space="preserve"> which would leave </w:t>
      </w:r>
      <w:r w:rsidR="0098743A" w:rsidRPr="00563183">
        <w:rPr>
          <w:rFonts w:eastAsia="Calibri" w:cstheme="minorHAnsi"/>
          <w:sz w:val="24"/>
          <w:szCs w:val="24"/>
        </w:rPr>
        <w:t>an approximate</w:t>
      </w:r>
      <w:r w:rsidR="003C5A7B" w:rsidRPr="00563183">
        <w:rPr>
          <w:rFonts w:eastAsia="Calibri" w:cstheme="minorHAnsi"/>
          <w:sz w:val="24"/>
          <w:szCs w:val="24"/>
        </w:rPr>
        <w:t xml:space="preserve"> ending balance of $</w:t>
      </w:r>
      <w:r w:rsidR="004D0C13" w:rsidRPr="00563183">
        <w:rPr>
          <w:rFonts w:eastAsia="Calibri" w:cstheme="minorHAnsi"/>
          <w:sz w:val="24"/>
          <w:szCs w:val="24"/>
        </w:rPr>
        <w:t>24,705</w:t>
      </w:r>
      <w:r w:rsidR="003C5A7B" w:rsidRPr="00563183">
        <w:rPr>
          <w:rFonts w:eastAsia="Calibri" w:cstheme="minorHAnsi"/>
          <w:sz w:val="24"/>
          <w:szCs w:val="24"/>
        </w:rPr>
        <w:t xml:space="preserve"> on June 30, 202</w:t>
      </w:r>
      <w:r w:rsidR="00614FE5" w:rsidRPr="00563183">
        <w:rPr>
          <w:rFonts w:eastAsia="Calibri" w:cstheme="minorHAnsi"/>
          <w:sz w:val="24"/>
          <w:szCs w:val="24"/>
        </w:rPr>
        <w:t>3</w:t>
      </w:r>
      <w:r w:rsidR="003C5A7B" w:rsidRPr="00563183">
        <w:rPr>
          <w:rFonts w:eastAsia="Calibri" w:cstheme="minorHAnsi"/>
          <w:sz w:val="24"/>
          <w:szCs w:val="24"/>
        </w:rPr>
        <w:t xml:space="preserve">. </w:t>
      </w:r>
      <w:r w:rsidR="009420B9" w:rsidRPr="00563183">
        <w:rPr>
          <w:rFonts w:eastAsia="Calibri" w:cstheme="minorHAnsi"/>
          <w:sz w:val="24"/>
          <w:szCs w:val="24"/>
        </w:rPr>
        <w:t>Gaugler advised the Commission that the ending balance would likely rise as the Commission continues to have MS Teams virtual meeting</w:t>
      </w:r>
      <w:r w:rsidR="00BF5D45" w:rsidRPr="00563183">
        <w:rPr>
          <w:rFonts w:eastAsia="Calibri" w:cstheme="minorHAnsi"/>
          <w:sz w:val="24"/>
          <w:szCs w:val="24"/>
        </w:rPr>
        <w:t>s</w:t>
      </w:r>
      <w:r w:rsidR="009420B9" w:rsidRPr="00563183">
        <w:rPr>
          <w:rFonts w:eastAsia="Calibri" w:cstheme="minorHAnsi"/>
          <w:sz w:val="24"/>
          <w:szCs w:val="24"/>
        </w:rPr>
        <w:t xml:space="preserve"> rather than in-person meetings.</w:t>
      </w:r>
      <w:r w:rsidR="004D0C13" w:rsidRPr="00563183">
        <w:rPr>
          <w:rFonts w:eastAsia="Calibri" w:cstheme="minorHAnsi"/>
          <w:sz w:val="24"/>
          <w:szCs w:val="24"/>
        </w:rPr>
        <w:t xml:space="preserve"> She also noted that the budget update for October 2021 is on the website under the December </w:t>
      </w:r>
      <w:r w:rsidR="009D08A8" w:rsidRPr="00563183">
        <w:rPr>
          <w:rFonts w:eastAsia="Calibri" w:cstheme="minorHAnsi"/>
          <w:sz w:val="24"/>
          <w:szCs w:val="24"/>
        </w:rPr>
        <w:t xml:space="preserve">2021 </w:t>
      </w:r>
      <w:r w:rsidR="004D0C13" w:rsidRPr="00563183">
        <w:rPr>
          <w:rFonts w:eastAsia="Calibri" w:cstheme="minorHAnsi"/>
          <w:sz w:val="24"/>
          <w:szCs w:val="24"/>
        </w:rPr>
        <w:t>meeting data.</w:t>
      </w:r>
    </w:p>
    <w:p w14:paraId="0C209137" w14:textId="77777777" w:rsidR="009420B9" w:rsidRPr="00563183" w:rsidRDefault="009420B9" w:rsidP="009420B9">
      <w:pPr>
        <w:pStyle w:val="ListParagraph"/>
        <w:tabs>
          <w:tab w:val="left" w:pos="360"/>
        </w:tabs>
        <w:ind w:left="360" w:right="180"/>
        <w:jc w:val="both"/>
        <w:rPr>
          <w:rFonts w:eastAsia="Calibri" w:cstheme="minorHAnsi"/>
          <w:sz w:val="24"/>
          <w:szCs w:val="24"/>
        </w:rPr>
      </w:pPr>
    </w:p>
    <w:p w14:paraId="627F6106" w14:textId="77777777" w:rsidR="003A3ADC" w:rsidRPr="00563183" w:rsidRDefault="00CA3AA9" w:rsidP="00A772E3">
      <w:pPr>
        <w:pStyle w:val="ListParagraph"/>
        <w:numPr>
          <w:ilvl w:val="0"/>
          <w:numId w:val="1"/>
        </w:numPr>
        <w:tabs>
          <w:tab w:val="left" w:pos="540"/>
        </w:tabs>
        <w:ind w:right="180"/>
        <w:jc w:val="both"/>
        <w:rPr>
          <w:rFonts w:eastAsia="Calibri" w:cstheme="minorHAnsi"/>
          <w:sz w:val="24"/>
          <w:szCs w:val="24"/>
        </w:rPr>
      </w:pPr>
      <w:r w:rsidRPr="00563183">
        <w:rPr>
          <w:rFonts w:eastAsia="Calibri" w:cstheme="minorHAnsi"/>
          <w:sz w:val="24"/>
          <w:szCs w:val="24"/>
          <w:u w:val="single"/>
        </w:rPr>
        <w:t>Executive Director Thiele</w:t>
      </w:r>
      <w:r w:rsidR="00761950" w:rsidRPr="00563183">
        <w:rPr>
          <w:rFonts w:eastAsia="Calibri" w:cstheme="minorHAnsi"/>
          <w:sz w:val="24"/>
          <w:szCs w:val="24"/>
          <w:u w:val="single"/>
        </w:rPr>
        <w:t xml:space="preserve"> </w:t>
      </w:r>
      <w:r w:rsidR="00374A63" w:rsidRPr="00563183">
        <w:rPr>
          <w:rFonts w:eastAsia="Calibri" w:cstheme="minorHAnsi"/>
          <w:sz w:val="24"/>
          <w:szCs w:val="24"/>
          <w:u w:val="single"/>
        </w:rPr>
        <w:t>Update:</w:t>
      </w:r>
      <w:r w:rsidR="00374A63" w:rsidRPr="00563183">
        <w:rPr>
          <w:rFonts w:eastAsia="Calibri" w:cstheme="minorHAnsi"/>
          <w:sz w:val="24"/>
          <w:szCs w:val="24"/>
        </w:rPr>
        <w:t xml:space="preserve"> </w:t>
      </w:r>
      <w:r w:rsidR="003A3ADC" w:rsidRPr="00563183">
        <w:rPr>
          <w:rFonts w:eastAsia="Calibri" w:cstheme="minorHAnsi"/>
          <w:sz w:val="24"/>
          <w:szCs w:val="24"/>
        </w:rPr>
        <w:t xml:space="preserve"> </w:t>
      </w:r>
    </w:p>
    <w:p w14:paraId="4BBA0F4D" w14:textId="77777777" w:rsidR="003A3ADC" w:rsidRPr="00563183" w:rsidRDefault="003A3ADC" w:rsidP="003A3ADC">
      <w:pPr>
        <w:pStyle w:val="ListParagraph"/>
        <w:rPr>
          <w:rFonts w:eastAsia="Calibri" w:cstheme="minorHAnsi"/>
          <w:sz w:val="24"/>
          <w:szCs w:val="24"/>
        </w:rPr>
      </w:pPr>
    </w:p>
    <w:p w14:paraId="72035A70" w14:textId="54AD5293" w:rsidR="00F37BAD" w:rsidRPr="00563183" w:rsidRDefault="00761950" w:rsidP="003A3ADC">
      <w:pPr>
        <w:pStyle w:val="ListParagraph"/>
        <w:numPr>
          <w:ilvl w:val="0"/>
          <w:numId w:val="14"/>
        </w:numPr>
        <w:tabs>
          <w:tab w:val="left" w:pos="540"/>
        </w:tabs>
        <w:ind w:right="180"/>
        <w:jc w:val="both"/>
        <w:rPr>
          <w:rFonts w:eastAsia="Calibri" w:cstheme="minorHAnsi"/>
          <w:sz w:val="24"/>
          <w:szCs w:val="24"/>
        </w:rPr>
      </w:pPr>
      <w:r w:rsidRPr="00563183">
        <w:rPr>
          <w:rFonts w:eastAsia="Calibri" w:cstheme="minorHAnsi"/>
          <w:sz w:val="24"/>
          <w:szCs w:val="24"/>
        </w:rPr>
        <w:t xml:space="preserve">On October 21 </w:t>
      </w:r>
      <w:r w:rsidR="003A3ADC" w:rsidRPr="00563183">
        <w:rPr>
          <w:rFonts w:eastAsia="Calibri" w:cstheme="minorHAnsi"/>
          <w:sz w:val="24"/>
          <w:szCs w:val="24"/>
        </w:rPr>
        <w:t>Thiele</w:t>
      </w:r>
      <w:r w:rsidRPr="00563183">
        <w:rPr>
          <w:rFonts w:eastAsia="Calibri" w:cstheme="minorHAnsi"/>
          <w:sz w:val="24"/>
          <w:szCs w:val="24"/>
        </w:rPr>
        <w:t xml:space="preserve"> brief</w:t>
      </w:r>
      <w:r w:rsidR="00A562EF" w:rsidRPr="00563183">
        <w:rPr>
          <w:rFonts w:eastAsia="Calibri" w:cstheme="minorHAnsi"/>
          <w:sz w:val="24"/>
          <w:szCs w:val="24"/>
        </w:rPr>
        <w:t>ed</w:t>
      </w:r>
      <w:r w:rsidRPr="00563183">
        <w:rPr>
          <w:rFonts w:eastAsia="Calibri" w:cstheme="minorHAnsi"/>
          <w:sz w:val="24"/>
          <w:szCs w:val="24"/>
        </w:rPr>
        <w:t xml:space="preserve"> the Bank of North Dakota </w:t>
      </w:r>
      <w:r w:rsidR="0047036A" w:rsidRPr="00563183">
        <w:rPr>
          <w:rFonts w:eastAsia="Calibri" w:cstheme="minorHAnsi"/>
          <w:sz w:val="24"/>
          <w:szCs w:val="24"/>
        </w:rPr>
        <w:t>B</w:t>
      </w:r>
      <w:r w:rsidRPr="00563183">
        <w:rPr>
          <w:rFonts w:eastAsia="Calibri" w:cstheme="minorHAnsi"/>
          <w:sz w:val="24"/>
          <w:szCs w:val="24"/>
        </w:rPr>
        <w:t xml:space="preserve">oard of </w:t>
      </w:r>
      <w:r w:rsidR="0047036A" w:rsidRPr="00563183">
        <w:rPr>
          <w:rFonts w:eastAsia="Calibri" w:cstheme="minorHAnsi"/>
          <w:sz w:val="24"/>
          <w:szCs w:val="24"/>
        </w:rPr>
        <w:t>D</w:t>
      </w:r>
      <w:r w:rsidRPr="00563183">
        <w:rPr>
          <w:rFonts w:eastAsia="Calibri" w:cstheme="minorHAnsi"/>
          <w:sz w:val="24"/>
          <w:szCs w:val="24"/>
        </w:rPr>
        <w:t>irectors</w:t>
      </w:r>
      <w:r w:rsidR="00EB21F6" w:rsidRPr="00563183">
        <w:rPr>
          <w:rFonts w:eastAsia="Calibri" w:cstheme="minorHAnsi"/>
          <w:sz w:val="24"/>
          <w:szCs w:val="24"/>
        </w:rPr>
        <w:t xml:space="preserve">. The second week of December he also briefed the Joint North Dakota Water Convention on </w:t>
      </w:r>
      <w:r w:rsidR="00195375" w:rsidRPr="00563183">
        <w:rPr>
          <w:rFonts w:eastAsia="Calibri" w:cstheme="minorHAnsi"/>
          <w:sz w:val="24"/>
          <w:szCs w:val="24"/>
        </w:rPr>
        <w:t xml:space="preserve">the background of the Ethics Commission as well as “best practices” for boards and commissions </w:t>
      </w:r>
      <w:r w:rsidR="00F37BAD" w:rsidRPr="00563183">
        <w:rPr>
          <w:rFonts w:eastAsia="Calibri" w:cstheme="minorHAnsi"/>
          <w:sz w:val="24"/>
          <w:szCs w:val="24"/>
        </w:rPr>
        <w:t>regarding</w:t>
      </w:r>
      <w:r w:rsidR="00195375" w:rsidRPr="00563183">
        <w:rPr>
          <w:rFonts w:eastAsia="Calibri" w:cstheme="minorHAnsi"/>
          <w:sz w:val="24"/>
          <w:szCs w:val="24"/>
        </w:rPr>
        <w:t xml:space="preserve"> conflicts of interest</w:t>
      </w:r>
      <w:r w:rsidRPr="00563183">
        <w:rPr>
          <w:rFonts w:eastAsia="Calibri" w:cstheme="minorHAnsi"/>
          <w:sz w:val="24"/>
          <w:szCs w:val="24"/>
        </w:rPr>
        <w:t>.</w:t>
      </w:r>
      <w:r w:rsidR="00195375" w:rsidRPr="00563183">
        <w:rPr>
          <w:rFonts w:eastAsia="Calibri" w:cstheme="minorHAnsi"/>
          <w:sz w:val="24"/>
          <w:szCs w:val="24"/>
        </w:rPr>
        <w:t xml:space="preserve"> </w:t>
      </w:r>
    </w:p>
    <w:p w14:paraId="05B16E61" w14:textId="77777777" w:rsidR="00F37BAD" w:rsidRPr="00563183" w:rsidRDefault="00F37BAD" w:rsidP="00F37BAD">
      <w:pPr>
        <w:pStyle w:val="ListParagraph"/>
        <w:rPr>
          <w:rFonts w:eastAsia="Calibri" w:cstheme="minorHAnsi"/>
          <w:sz w:val="24"/>
          <w:szCs w:val="24"/>
        </w:rPr>
      </w:pPr>
    </w:p>
    <w:p w14:paraId="2D1CBDBD" w14:textId="6D226D8C" w:rsidR="00C71722" w:rsidRPr="00563183" w:rsidRDefault="00195375" w:rsidP="003A3ADC">
      <w:pPr>
        <w:pStyle w:val="ListParagraph"/>
        <w:numPr>
          <w:ilvl w:val="0"/>
          <w:numId w:val="14"/>
        </w:numPr>
        <w:tabs>
          <w:tab w:val="left" w:pos="540"/>
        </w:tabs>
        <w:ind w:right="180"/>
        <w:jc w:val="both"/>
        <w:rPr>
          <w:rFonts w:eastAsia="Calibri" w:cstheme="minorHAnsi"/>
          <w:sz w:val="24"/>
          <w:szCs w:val="24"/>
        </w:rPr>
      </w:pPr>
      <w:r w:rsidRPr="00563183">
        <w:rPr>
          <w:rFonts w:eastAsia="Calibri" w:cstheme="minorHAnsi"/>
          <w:sz w:val="24"/>
          <w:szCs w:val="24"/>
        </w:rPr>
        <w:lastRenderedPageBreak/>
        <w:t xml:space="preserve">Thiele discussed the current </w:t>
      </w:r>
      <w:r w:rsidR="00A42888" w:rsidRPr="00563183">
        <w:rPr>
          <w:rFonts w:eastAsia="Calibri" w:cstheme="minorHAnsi"/>
          <w:sz w:val="24"/>
          <w:szCs w:val="24"/>
        </w:rPr>
        <w:t>audit of the ND Ethics Commission being conducted by the ND State Auditor</w:t>
      </w:r>
      <w:r w:rsidR="00BA4D62">
        <w:rPr>
          <w:rFonts w:eastAsia="Calibri" w:cstheme="minorHAnsi"/>
          <w:sz w:val="24"/>
          <w:szCs w:val="24"/>
        </w:rPr>
        <w:t>’</w:t>
      </w:r>
      <w:r w:rsidR="00A42888" w:rsidRPr="00563183">
        <w:rPr>
          <w:rFonts w:eastAsia="Calibri" w:cstheme="minorHAnsi"/>
          <w:sz w:val="24"/>
          <w:szCs w:val="24"/>
        </w:rPr>
        <w:t>s Office. The auditors pointed out that current Article 115-02-01-03(7)</w:t>
      </w:r>
      <w:r w:rsidR="00F37BAD" w:rsidRPr="00563183">
        <w:rPr>
          <w:rFonts w:eastAsia="Calibri" w:cstheme="minorHAnsi"/>
          <w:sz w:val="24"/>
          <w:szCs w:val="24"/>
        </w:rPr>
        <w:t xml:space="preserve"> states that summarily dismissed or referred complaints would be reported to the Commission during executive session and that has not been our current practice</w:t>
      </w:r>
      <w:r w:rsidR="00DA713D" w:rsidRPr="00563183">
        <w:rPr>
          <w:rFonts w:eastAsia="Calibri" w:cstheme="minorHAnsi"/>
          <w:sz w:val="24"/>
          <w:szCs w:val="24"/>
        </w:rPr>
        <w:t xml:space="preserve"> nor was it the intent of the Co</w:t>
      </w:r>
      <w:r w:rsidR="00707D0A" w:rsidRPr="00563183">
        <w:rPr>
          <w:rFonts w:eastAsia="Calibri" w:cstheme="minorHAnsi"/>
          <w:sz w:val="24"/>
          <w:szCs w:val="24"/>
        </w:rPr>
        <w:t>mmission.</w:t>
      </w:r>
      <w:r w:rsidR="00F37BAD" w:rsidRPr="00563183">
        <w:rPr>
          <w:rFonts w:eastAsia="Calibri" w:cstheme="minorHAnsi"/>
          <w:sz w:val="24"/>
          <w:szCs w:val="24"/>
        </w:rPr>
        <w:t xml:space="preserve"> </w:t>
      </w:r>
      <w:r w:rsidR="00707D0A" w:rsidRPr="00563183">
        <w:rPr>
          <w:rFonts w:eastAsia="Calibri" w:cstheme="minorHAnsi"/>
          <w:sz w:val="24"/>
          <w:szCs w:val="24"/>
        </w:rPr>
        <w:t>C</w:t>
      </w:r>
      <w:r w:rsidR="00F37BAD" w:rsidRPr="00563183">
        <w:rPr>
          <w:rFonts w:eastAsia="Calibri" w:cstheme="minorHAnsi"/>
          <w:sz w:val="24"/>
          <w:szCs w:val="24"/>
        </w:rPr>
        <w:t xml:space="preserve">onfidential information would not be </w:t>
      </w:r>
      <w:proofErr w:type="gramStart"/>
      <w:r w:rsidR="00F37BAD" w:rsidRPr="00563183">
        <w:rPr>
          <w:rFonts w:eastAsia="Calibri" w:cstheme="minorHAnsi"/>
          <w:sz w:val="24"/>
          <w:szCs w:val="24"/>
        </w:rPr>
        <w:t>discussed</w:t>
      </w:r>
      <w:proofErr w:type="gramEnd"/>
      <w:r w:rsidR="00F37BAD" w:rsidRPr="00563183">
        <w:rPr>
          <w:rFonts w:eastAsia="Calibri" w:cstheme="minorHAnsi"/>
          <w:sz w:val="24"/>
          <w:szCs w:val="24"/>
        </w:rPr>
        <w:t xml:space="preserve"> </w:t>
      </w:r>
      <w:r w:rsidR="00E5122A" w:rsidRPr="00563183">
        <w:rPr>
          <w:rFonts w:eastAsia="Calibri" w:cstheme="minorHAnsi"/>
          <w:sz w:val="24"/>
          <w:szCs w:val="24"/>
        </w:rPr>
        <w:t xml:space="preserve">and his report would provide only </w:t>
      </w:r>
      <w:r w:rsidR="003A3ADC" w:rsidRPr="00563183">
        <w:rPr>
          <w:rFonts w:eastAsia="Calibri" w:cstheme="minorHAnsi"/>
          <w:sz w:val="24"/>
          <w:szCs w:val="24"/>
        </w:rPr>
        <w:t xml:space="preserve">a </w:t>
      </w:r>
      <w:r w:rsidR="00E5122A" w:rsidRPr="00563183">
        <w:rPr>
          <w:rFonts w:eastAsia="Calibri" w:cstheme="minorHAnsi"/>
          <w:sz w:val="24"/>
          <w:szCs w:val="24"/>
        </w:rPr>
        <w:t>general background of the nature of the complaint. If</w:t>
      </w:r>
      <w:r w:rsidR="00DA713D" w:rsidRPr="00563183">
        <w:rPr>
          <w:rFonts w:eastAsia="Calibri" w:cstheme="minorHAnsi"/>
          <w:sz w:val="24"/>
          <w:szCs w:val="24"/>
        </w:rPr>
        <w:t xml:space="preserve"> it was appealed</w:t>
      </w:r>
      <w:r w:rsidR="00F07B20" w:rsidRPr="00563183">
        <w:rPr>
          <w:rFonts w:eastAsia="Calibri" w:cstheme="minorHAnsi"/>
          <w:sz w:val="24"/>
          <w:szCs w:val="24"/>
        </w:rPr>
        <w:t>,</w:t>
      </w:r>
      <w:r w:rsidR="00DA713D" w:rsidRPr="00563183">
        <w:rPr>
          <w:rFonts w:eastAsia="Calibri" w:cstheme="minorHAnsi"/>
          <w:sz w:val="24"/>
          <w:szCs w:val="24"/>
        </w:rPr>
        <w:t xml:space="preserve"> the Commission would</w:t>
      </w:r>
      <w:r w:rsidR="00D61A64" w:rsidRPr="00563183">
        <w:rPr>
          <w:rFonts w:eastAsia="Calibri" w:cstheme="minorHAnsi"/>
          <w:sz w:val="24"/>
          <w:szCs w:val="24"/>
        </w:rPr>
        <w:t xml:space="preserve"> then</w:t>
      </w:r>
      <w:r w:rsidR="00DA713D" w:rsidRPr="00563183">
        <w:rPr>
          <w:rFonts w:eastAsia="Calibri" w:cstheme="minorHAnsi"/>
          <w:sz w:val="24"/>
          <w:szCs w:val="24"/>
        </w:rPr>
        <w:t xml:space="preserve"> go to executive session</w:t>
      </w:r>
      <w:r w:rsidR="00F37BAD" w:rsidRPr="00563183">
        <w:rPr>
          <w:rFonts w:eastAsia="Calibri" w:cstheme="minorHAnsi"/>
          <w:sz w:val="24"/>
          <w:szCs w:val="24"/>
        </w:rPr>
        <w:t>.</w:t>
      </w:r>
      <w:r w:rsidR="00A42888" w:rsidRPr="00563183">
        <w:rPr>
          <w:rFonts w:eastAsia="Calibri" w:cstheme="minorHAnsi"/>
          <w:sz w:val="24"/>
          <w:szCs w:val="24"/>
        </w:rPr>
        <w:t xml:space="preserve"> </w:t>
      </w:r>
      <w:r w:rsidR="00F07B20" w:rsidRPr="00563183">
        <w:rPr>
          <w:rFonts w:eastAsia="Calibri" w:cstheme="minorHAnsi"/>
          <w:sz w:val="24"/>
          <w:szCs w:val="24"/>
        </w:rPr>
        <w:t>The Commission, with input from legal counsel Al</w:t>
      </w:r>
      <w:r w:rsidR="005C7C38" w:rsidRPr="00563183">
        <w:rPr>
          <w:rFonts w:eastAsia="Calibri" w:cstheme="minorHAnsi"/>
          <w:sz w:val="24"/>
          <w:szCs w:val="24"/>
        </w:rPr>
        <w:t>l</w:t>
      </w:r>
      <w:r w:rsidR="00F07B20" w:rsidRPr="00563183">
        <w:rPr>
          <w:rFonts w:eastAsia="Calibri" w:cstheme="minorHAnsi"/>
          <w:sz w:val="24"/>
          <w:szCs w:val="24"/>
        </w:rPr>
        <w:t>yson</w:t>
      </w:r>
      <w:r w:rsidR="005C7C38" w:rsidRPr="00563183">
        <w:rPr>
          <w:rFonts w:eastAsia="Calibri" w:cstheme="minorHAnsi"/>
          <w:sz w:val="24"/>
          <w:szCs w:val="24"/>
        </w:rPr>
        <w:t xml:space="preserve"> Hicks</w:t>
      </w:r>
      <w:r w:rsidR="00F848D3" w:rsidRPr="00563183">
        <w:rPr>
          <w:rFonts w:eastAsia="Calibri" w:cstheme="minorHAnsi"/>
          <w:sz w:val="24"/>
          <w:szCs w:val="24"/>
        </w:rPr>
        <w:t>,</w:t>
      </w:r>
      <w:r w:rsidR="005C7C38" w:rsidRPr="00563183">
        <w:rPr>
          <w:rFonts w:eastAsia="Calibri" w:cstheme="minorHAnsi"/>
          <w:sz w:val="24"/>
          <w:szCs w:val="24"/>
        </w:rPr>
        <w:t xml:space="preserve"> decided</w:t>
      </w:r>
      <w:r w:rsidR="00F848D3" w:rsidRPr="00563183">
        <w:rPr>
          <w:rFonts w:eastAsia="Calibri" w:cstheme="minorHAnsi"/>
          <w:sz w:val="24"/>
          <w:szCs w:val="24"/>
        </w:rPr>
        <w:t xml:space="preserve"> to remove</w:t>
      </w:r>
      <w:r w:rsidR="005C7C38" w:rsidRPr="00563183">
        <w:rPr>
          <w:rFonts w:eastAsia="Calibri" w:cstheme="minorHAnsi"/>
          <w:sz w:val="24"/>
          <w:szCs w:val="24"/>
        </w:rPr>
        <w:t xml:space="preserve"> all language regarding executive session as</w:t>
      </w:r>
      <w:r w:rsidR="00F848D3" w:rsidRPr="00563183">
        <w:rPr>
          <w:rFonts w:eastAsia="Calibri" w:cstheme="minorHAnsi"/>
          <w:sz w:val="24"/>
          <w:szCs w:val="24"/>
        </w:rPr>
        <w:t xml:space="preserve"> the Commission is held under current executive session laws</w:t>
      </w:r>
      <w:r w:rsidR="001B5866" w:rsidRPr="00563183">
        <w:rPr>
          <w:rFonts w:eastAsia="Calibri" w:cstheme="minorHAnsi"/>
          <w:sz w:val="24"/>
          <w:szCs w:val="24"/>
        </w:rPr>
        <w:t xml:space="preserve"> for</w:t>
      </w:r>
      <w:r w:rsidR="00F848D3" w:rsidRPr="00563183">
        <w:rPr>
          <w:rFonts w:eastAsia="Calibri" w:cstheme="minorHAnsi"/>
          <w:sz w:val="24"/>
          <w:szCs w:val="24"/>
        </w:rPr>
        <w:t xml:space="preserve"> discuss</w:t>
      </w:r>
      <w:r w:rsidR="001B5866" w:rsidRPr="00563183">
        <w:rPr>
          <w:rFonts w:eastAsia="Calibri" w:cstheme="minorHAnsi"/>
          <w:sz w:val="24"/>
          <w:szCs w:val="24"/>
        </w:rPr>
        <w:t>ing</w:t>
      </w:r>
      <w:r w:rsidR="00F848D3" w:rsidRPr="00563183">
        <w:rPr>
          <w:rFonts w:eastAsia="Calibri" w:cstheme="minorHAnsi"/>
          <w:sz w:val="24"/>
          <w:szCs w:val="24"/>
        </w:rPr>
        <w:t xml:space="preserve"> confidential complaint information.</w:t>
      </w:r>
    </w:p>
    <w:p w14:paraId="1C4070B6" w14:textId="77777777" w:rsidR="00195375" w:rsidRPr="00563183" w:rsidRDefault="00195375" w:rsidP="00195375">
      <w:pPr>
        <w:pStyle w:val="ListParagraph"/>
        <w:rPr>
          <w:rFonts w:eastAsia="Calibri" w:cstheme="minorHAnsi"/>
          <w:sz w:val="24"/>
          <w:szCs w:val="24"/>
        </w:rPr>
      </w:pPr>
    </w:p>
    <w:p w14:paraId="734EED63" w14:textId="23757D26" w:rsidR="00AA7A78" w:rsidRPr="00207B4F" w:rsidRDefault="004959CE" w:rsidP="00207B4F">
      <w:pPr>
        <w:pStyle w:val="ListParagraph"/>
        <w:tabs>
          <w:tab w:val="left" w:pos="270"/>
          <w:tab w:val="left" w:pos="450"/>
        </w:tabs>
        <w:ind w:left="1170" w:right="900"/>
        <w:jc w:val="both"/>
        <w:rPr>
          <w:rFonts w:cstheme="minorHAnsi"/>
          <w:sz w:val="24"/>
          <w:szCs w:val="24"/>
        </w:rPr>
      </w:pPr>
      <w:bookmarkStart w:id="3" w:name="_Hlk91504098"/>
      <w:r w:rsidRPr="00563183">
        <w:rPr>
          <w:rFonts w:eastAsia="Calibri" w:cstheme="minorHAnsi"/>
          <w:b/>
          <w:sz w:val="24"/>
          <w:szCs w:val="24"/>
          <w:u w:val="single"/>
        </w:rPr>
        <w:t>Motion:</w:t>
      </w:r>
      <w:r w:rsidRPr="00563183">
        <w:rPr>
          <w:rFonts w:eastAsia="Calibri" w:cstheme="minorHAnsi"/>
          <w:sz w:val="24"/>
          <w:szCs w:val="24"/>
        </w:rPr>
        <w:t xml:space="preserve">  Commissioner Paul Richard made a motion to remove all references to executive session for dismissed complaints.</w:t>
      </w:r>
      <w:r w:rsidRPr="00563183">
        <w:rPr>
          <w:rFonts w:cstheme="minorHAnsi"/>
          <w:sz w:val="24"/>
          <w:szCs w:val="24"/>
        </w:rPr>
        <w:t xml:space="preserve"> This motion was seconded by Commissioner Dave Anderson. Vice Chair Lindquist called for a roll call vote. The motion was passed unanimously.</w:t>
      </w:r>
      <w:bookmarkEnd w:id="3"/>
    </w:p>
    <w:p w14:paraId="10E5624D" w14:textId="77777777" w:rsidR="00CE7E91" w:rsidRPr="00563183" w:rsidRDefault="00CE7E91" w:rsidP="00CE7E91">
      <w:pPr>
        <w:pStyle w:val="ListParagraph"/>
        <w:tabs>
          <w:tab w:val="left" w:pos="540"/>
        </w:tabs>
        <w:ind w:left="360" w:right="180"/>
        <w:jc w:val="both"/>
        <w:rPr>
          <w:rFonts w:eastAsia="Calibri" w:cstheme="minorHAnsi"/>
          <w:sz w:val="24"/>
          <w:szCs w:val="24"/>
        </w:rPr>
      </w:pPr>
    </w:p>
    <w:p w14:paraId="1DA50B12" w14:textId="178C1F8D" w:rsidR="005C7C38" w:rsidRPr="00207B4F" w:rsidRDefault="00CE7E91" w:rsidP="00207B4F">
      <w:pPr>
        <w:pStyle w:val="ListParagraph"/>
        <w:numPr>
          <w:ilvl w:val="0"/>
          <w:numId w:val="15"/>
        </w:numPr>
        <w:ind w:right="83"/>
        <w:jc w:val="both"/>
        <w:rPr>
          <w:rFonts w:cstheme="minorHAnsi"/>
          <w:sz w:val="24"/>
          <w:szCs w:val="24"/>
        </w:rPr>
      </w:pPr>
      <w:r w:rsidRPr="00563183">
        <w:rPr>
          <w:rFonts w:eastAsia="Calibri" w:cstheme="minorHAnsi"/>
          <w:sz w:val="24"/>
          <w:szCs w:val="24"/>
        </w:rPr>
        <w:t xml:space="preserve">Thiele </w:t>
      </w:r>
      <w:r w:rsidR="00594328" w:rsidRPr="00563183">
        <w:rPr>
          <w:rFonts w:eastAsia="Calibri" w:cstheme="minorHAnsi"/>
          <w:sz w:val="24"/>
          <w:szCs w:val="24"/>
        </w:rPr>
        <w:t xml:space="preserve">briefed the Commission regarding complaint #21-008 where he had dismissed </w:t>
      </w:r>
      <w:r w:rsidR="004959CE" w:rsidRPr="00563183">
        <w:rPr>
          <w:rFonts w:eastAsia="Calibri" w:cstheme="minorHAnsi"/>
          <w:sz w:val="24"/>
          <w:szCs w:val="24"/>
        </w:rPr>
        <w:t>this</w:t>
      </w:r>
      <w:r w:rsidR="00594328" w:rsidRPr="00563183">
        <w:rPr>
          <w:rFonts w:eastAsia="Calibri" w:cstheme="minorHAnsi"/>
          <w:sz w:val="24"/>
          <w:szCs w:val="24"/>
        </w:rPr>
        <w:t xml:space="preserve"> complaint </w:t>
      </w:r>
      <w:r w:rsidR="00BF1A07" w:rsidRPr="00563183">
        <w:rPr>
          <w:rFonts w:eastAsia="Calibri" w:cstheme="minorHAnsi"/>
          <w:sz w:val="24"/>
          <w:szCs w:val="24"/>
        </w:rPr>
        <w:t>regarding</w:t>
      </w:r>
      <w:r w:rsidR="00594328" w:rsidRPr="00563183">
        <w:rPr>
          <w:rFonts w:eastAsia="Calibri" w:cstheme="minorHAnsi"/>
          <w:sz w:val="24"/>
          <w:szCs w:val="24"/>
        </w:rPr>
        <w:t xml:space="preserve"> a local board. Thiele provided </w:t>
      </w:r>
      <w:r w:rsidR="004959CE" w:rsidRPr="00563183">
        <w:rPr>
          <w:rFonts w:eastAsia="Calibri" w:cstheme="minorHAnsi"/>
          <w:sz w:val="24"/>
          <w:szCs w:val="24"/>
        </w:rPr>
        <w:t xml:space="preserve">statute to </w:t>
      </w:r>
      <w:r w:rsidR="00594328" w:rsidRPr="00563183">
        <w:rPr>
          <w:rFonts w:eastAsia="Calibri" w:cstheme="minorHAnsi"/>
          <w:sz w:val="24"/>
          <w:szCs w:val="24"/>
        </w:rPr>
        <w:t xml:space="preserve">the complainant </w:t>
      </w:r>
      <w:r w:rsidR="004959CE" w:rsidRPr="00563183">
        <w:rPr>
          <w:rFonts w:eastAsia="Calibri" w:cstheme="minorHAnsi"/>
          <w:sz w:val="24"/>
          <w:szCs w:val="24"/>
        </w:rPr>
        <w:t>pertaining to</w:t>
      </w:r>
      <w:r w:rsidR="00594328" w:rsidRPr="00563183">
        <w:rPr>
          <w:rFonts w:eastAsia="Calibri" w:cstheme="minorHAnsi"/>
          <w:sz w:val="24"/>
          <w:szCs w:val="24"/>
        </w:rPr>
        <w:t xml:space="preserve"> conflict of interest </w:t>
      </w:r>
      <w:r w:rsidR="004959CE" w:rsidRPr="00563183">
        <w:rPr>
          <w:rFonts w:eastAsia="Calibri" w:cstheme="minorHAnsi"/>
          <w:sz w:val="24"/>
          <w:szCs w:val="24"/>
        </w:rPr>
        <w:t>as well as</w:t>
      </w:r>
      <w:r w:rsidR="00594328" w:rsidRPr="00563183">
        <w:rPr>
          <w:rFonts w:eastAsia="Calibri" w:cstheme="minorHAnsi"/>
          <w:sz w:val="24"/>
          <w:szCs w:val="24"/>
        </w:rPr>
        <w:t xml:space="preserve"> jurisdictional information of the Ethics Commission.</w:t>
      </w:r>
    </w:p>
    <w:p w14:paraId="75A31DB1" w14:textId="77777777" w:rsidR="00207B4F" w:rsidRPr="00207B4F" w:rsidRDefault="00207B4F" w:rsidP="00207B4F">
      <w:pPr>
        <w:pStyle w:val="ListParagraph"/>
        <w:ind w:left="1080" w:right="83"/>
        <w:jc w:val="both"/>
        <w:rPr>
          <w:rFonts w:cstheme="minorHAnsi"/>
          <w:sz w:val="24"/>
          <w:szCs w:val="24"/>
        </w:rPr>
      </w:pPr>
    </w:p>
    <w:p w14:paraId="66A7A56F" w14:textId="2D53FDB9" w:rsidR="00CE7E91" w:rsidRPr="00563183" w:rsidRDefault="00B678FD" w:rsidP="00B678FD">
      <w:pPr>
        <w:pStyle w:val="ListParagraph"/>
        <w:numPr>
          <w:ilvl w:val="0"/>
          <w:numId w:val="15"/>
        </w:numPr>
        <w:tabs>
          <w:tab w:val="left" w:pos="540"/>
        </w:tabs>
        <w:ind w:right="180"/>
        <w:jc w:val="both"/>
        <w:rPr>
          <w:rFonts w:eastAsia="Calibri" w:cstheme="minorHAnsi"/>
          <w:sz w:val="24"/>
          <w:szCs w:val="24"/>
        </w:rPr>
      </w:pPr>
      <w:r w:rsidRPr="00563183">
        <w:rPr>
          <w:rFonts w:eastAsia="Calibri" w:cstheme="minorHAnsi"/>
          <w:sz w:val="24"/>
          <w:szCs w:val="24"/>
        </w:rPr>
        <w:t>Upcoming Calendar: Thiele asked the</w:t>
      </w:r>
      <w:r w:rsidR="00CE7E91" w:rsidRPr="00563183">
        <w:rPr>
          <w:rFonts w:eastAsia="Calibri" w:cstheme="minorHAnsi"/>
          <w:sz w:val="24"/>
          <w:szCs w:val="24"/>
        </w:rPr>
        <w:t xml:space="preserve"> Commission </w:t>
      </w:r>
      <w:r w:rsidR="00AA7A78" w:rsidRPr="00563183">
        <w:rPr>
          <w:rFonts w:eastAsia="Calibri" w:cstheme="minorHAnsi"/>
          <w:sz w:val="24"/>
          <w:szCs w:val="24"/>
        </w:rPr>
        <w:t>set dates for the next six months of regular meetings: January 26</w:t>
      </w:r>
      <w:r w:rsidR="00AA7A78" w:rsidRPr="00563183">
        <w:rPr>
          <w:rFonts w:eastAsia="Calibri" w:cstheme="minorHAnsi"/>
          <w:sz w:val="24"/>
          <w:szCs w:val="24"/>
          <w:vertAlign w:val="superscript"/>
        </w:rPr>
        <w:t>th</w:t>
      </w:r>
      <w:r w:rsidR="00AA7A78" w:rsidRPr="00563183">
        <w:rPr>
          <w:rFonts w:eastAsia="Calibri" w:cstheme="minorHAnsi"/>
          <w:sz w:val="24"/>
          <w:szCs w:val="24"/>
        </w:rPr>
        <w:t>, February 23</w:t>
      </w:r>
      <w:r w:rsidR="00AA7A78" w:rsidRPr="00563183">
        <w:rPr>
          <w:rFonts w:eastAsia="Calibri" w:cstheme="minorHAnsi"/>
          <w:sz w:val="24"/>
          <w:szCs w:val="24"/>
          <w:vertAlign w:val="superscript"/>
        </w:rPr>
        <w:t>rd</w:t>
      </w:r>
      <w:r w:rsidR="00AA7A78" w:rsidRPr="00563183">
        <w:rPr>
          <w:rFonts w:eastAsia="Calibri" w:cstheme="minorHAnsi"/>
          <w:sz w:val="24"/>
          <w:szCs w:val="24"/>
        </w:rPr>
        <w:t xml:space="preserve">, </w:t>
      </w:r>
      <w:r w:rsidR="006E637F" w:rsidRPr="00563183">
        <w:rPr>
          <w:rFonts w:eastAsia="Calibri" w:cstheme="minorHAnsi"/>
          <w:sz w:val="24"/>
          <w:szCs w:val="24"/>
        </w:rPr>
        <w:t>March 23</w:t>
      </w:r>
      <w:r w:rsidR="006E637F" w:rsidRPr="00563183">
        <w:rPr>
          <w:rFonts w:eastAsia="Calibri" w:cstheme="minorHAnsi"/>
          <w:sz w:val="24"/>
          <w:szCs w:val="24"/>
          <w:vertAlign w:val="superscript"/>
        </w:rPr>
        <w:t>rd</w:t>
      </w:r>
      <w:r w:rsidR="006E637F" w:rsidRPr="00563183">
        <w:rPr>
          <w:rFonts w:eastAsia="Calibri" w:cstheme="minorHAnsi"/>
          <w:sz w:val="24"/>
          <w:szCs w:val="24"/>
        </w:rPr>
        <w:t xml:space="preserve">, </w:t>
      </w:r>
      <w:r w:rsidR="00B23919" w:rsidRPr="00563183">
        <w:rPr>
          <w:rFonts w:eastAsia="Calibri" w:cstheme="minorHAnsi"/>
          <w:sz w:val="24"/>
          <w:szCs w:val="24"/>
        </w:rPr>
        <w:t>April</w:t>
      </w:r>
      <w:r w:rsidR="006E637F" w:rsidRPr="00563183">
        <w:rPr>
          <w:rFonts w:eastAsia="Calibri" w:cstheme="minorHAnsi"/>
          <w:sz w:val="24"/>
          <w:szCs w:val="24"/>
        </w:rPr>
        <w:t xml:space="preserve"> 27</w:t>
      </w:r>
      <w:r w:rsidR="006E637F" w:rsidRPr="00563183">
        <w:rPr>
          <w:rFonts w:eastAsia="Calibri" w:cstheme="minorHAnsi"/>
          <w:sz w:val="24"/>
          <w:szCs w:val="24"/>
          <w:vertAlign w:val="superscript"/>
        </w:rPr>
        <w:t>th</w:t>
      </w:r>
      <w:r w:rsidR="006E637F" w:rsidRPr="00563183">
        <w:rPr>
          <w:rFonts w:eastAsia="Calibri" w:cstheme="minorHAnsi"/>
          <w:sz w:val="24"/>
          <w:szCs w:val="24"/>
        </w:rPr>
        <w:t>, May 25</w:t>
      </w:r>
      <w:r w:rsidR="006E637F" w:rsidRPr="00563183">
        <w:rPr>
          <w:rFonts w:eastAsia="Calibri" w:cstheme="minorHAnsi"/>
          <w:sz w:val="24"/>
          <w:szCs w:val="24"/>
          <w:vertAlign w:val="superscript"/>
        </w:rPr>
        <w:t>th</w:t>
      </w:r>
      <w:r w:rsidR="006E637F" w:rsidRPr="00563183">
        <w:rPr>
          <w:rFonts w:eastAsia="Calibri" w:cstheme="minorHAnsi"/>
          <w:sz w:val="24"/>
          <w:szCs w:val="24"/>
        </w:rPr>
        <w:t>, and June 22</w:t>
      </w:r>
      <w:r w:rsidR="006E637F" w:rsidRPr="00563183">
        <w:rPr>
          <w:rFonts w:eastAsia="Calibri" w:cstheme="minorHAnsi"/>
          <w:sz w:val="24"/>
          <w:szCs w:val="24"/>
          <w:vertAlign w:val="superscript"/>
        </w:rPr>
        <w:t>nd</w:t>
      </w:r>
      <w:r w:rsidR="006E637F" w:rsidRPr="00563183">
        <w:rPr>
          <w:rFonts w:eastAsia="Calibri" w:cstheme="minorHAnsi"/>
          <w:sz w:val="24"/>
          <w:szCs w:val="24"/>
        </w:rPr>
        <w:t xml:space="preserve">, </w:t>
      </w:r>
      <w:proofErr w:type="gramStart"/>
      <w:r w:rsidR="006E637F" w:rsidRPr="00563183">
        <w:rPr>
          <w:rFonts w:eastAsia="Calibri" w:cstheme="minorHAnsi"/>
          <w:sz w:val="24"/>
          <w:szCs w:val="24"/>
        </w:rPr>
        <w:t>2022</w:t>
      </w:r>
      <w:proofErr w:type="gramEnd"/>
      <w:r w:rsidRPr="00563183">
        <w:rPr>
          <w:rFonts w:eastAsia="Calibri" w:cstheme="minorHAnsi"/>
          <w:sz w:val="24"/>
          <w:szCs w:val="24"/>
        </w:rPr>
        <w:t xml:space="preserve"> were dates agreed upon by Commissioners.</w:t>
      </w:r>
    </w:p>
    <w:p w14:paraId="26C4797D" w14:textId="77777777" w:rsidR="00B678FD" w:rsidRPr="00563183" w:rsidRDefault="00B678FD" w:rsidP="00B678FD">
      <w:pPr>
        <w:pStyle w:val="ListParagraph"/>
        <w:rPr>
          <w:rFonts w:eastAsia="Calibri" w:cstheme="minorHAnsi"/>
          <w:sz w:val="24"/>
          <w:szCs w:val="24"/>
        </w:rPr>
      </w:pPr>
    </w:p>
    <w:p w14:paraId="1DD0D32C" w14:textId="7FD56BCD" w:rsidR="00297F99" w:rsidRDefault="00B678FD" w:rsidP="00207B4F">
      <w:pPr>
        <w:pStyle w:val="ListParagraph"/>
        <w:numPr>
          <w:ilvl w:val="0"/>
          <w:numId w:val="15"/>
        </w:numPr>
        <w:tabs>
          <w:tab w:val="left" w:pos="540"/>
        </w:tabs>
        <w:ind w:right="180"/>
        <w:jc w:val="both"/>
        <w:rPr>
          <w:rFonts w:eastAsia="Calibri" w:cstheme="minorHAnsi"/>
          <w:sz w:val="24"/>
          <w:szCs w:val="24"/>
        </w:rPr>
      </w:pPr>
      <w:r w:rsidRPr="00563183">
        <w:rPr>
          <w:rFonts w:eastAsia="Calibri" w:cstheme="minorHAnsi"/>
          <w:sz w:val="24"/>
          <w:szCs w:val="24"/>
        </w:rPr>
        <w:t>Thiele discussed the upcoming strategic review meeting with the Governor set for March 1, 2022. A one-page agency summary which describes our agency</w:t>
      </w:r>
      <w:r w:rsidRPr="00563183">
        <w:rPr>
          <w:rFonts w:cstheme="minorHAnsi"/>
          <w:sz w:val="24"/>
          <w:szCs w:val="24"/>
        </w:rPr>
        <w:t xml:space="preserve"> and provides a starting point for our strategic review </w:t>
      </w:r>
      <w:r w:rsidRPr="00563183">
        <w:rPr>
          <w:rFonts w:eastAsia="Calibri" w:cstheme="minorHAnsi"/>
          <w:sz w:val="24"/>
          <w:szCs w:val="24"/>
        </w:rPr>
        <w:t>is due on January 14</w:t>
      </w:r>
      <w:r w:rsidRPr="00563183">
        <w:rPr>
          <w:rFonts w:eastAsia="Calibri" w:cstheme="minorHAnsi"/>
          <w:sz w:val="24"/>
          <w:szCs w:val="24"/>
          <w:vertAlign w:val="superscript"/>
        </w:rPr>
        <w:t>th</w:t>
      </w:r>
      <w:r w:rsidRPr="00563183">
        <w:rPr>
          <w:rFonts w:eastAsia="Calibri" w:cstheme="minorHAnsi"/>
          <w:sz w:val="24"/>
          <w:szCs w:val="24"/>
        </w:rPr>
        <w:t>.  The March 1</w:t>
      </w:r>
      <w:r w:rsidRPr="00563183">
        <w:rPr>
          <w:rFonts w:eastAsia="Calibri" w:cstheme="minorHAnsi"/>
          <w:sz w:val="24"/>
          <w:szCs w:val="24"/>
          <w:vertAlign w:val="superscript"/>
        </w:rPr>
        <w:t>st</w:t>
      </w:r>
      <w:r w:rsidRPr="00563183">
        <w:rPr>
          <w:rFonts w:eastAsia="Calibri" w:cstheme="minorHAnsi"/>
          <w:sz w:val="24"/>
          <w:szCs w:val="24"/>
        </w:rPr>
        <w:t xml:space="preserve"> meeting will be attended by Thiele, Commissioner Dave Anderson, and Holly Gaugler.</w:t>
      </w:r>
    </w:p>
    <w:p w14:paraId="308C7C4E" w14:textId="77777777" w:rsidR="00207B4F" w:rsidRPr="00207B4F" w:rsidRDefault="00207B4F" w:rsidP="00207B4F">
      <w:pPr>
        <w:pStyle w:val="ListParagraph"/>
        <w:rPr>
          <w:rFonts w:eastAsia="Calibri" w:cstheme="minorHAnsi"/>
          <w:sz w:val="24"/>
          <w:szCs w:val="24"/>
        </w:rPr>
      </w:pPr>
    </w:p>
    <w:p w14:paraId="39958B50" w14:textId="77777777" w:rsidR="00207B4F" w:rsidRPr="00207B4F" w:rsidRDefault="00207B4F" w:rsidP="00207B4F">
      <w:pPr>
        <w:pStyle w:val="ListParagraph"/>
        <w:tabs>
          <w:tab w:val="left" w:pos="540"/>
        </w:tabs>
        <w:ind w:left="1080" w:right="180"/>
        <w:jc w:val="both"/>
        <w:rPr>
          <w:rFonts w:eastAsia="Calibri" w:cstheme="minorHAnsi"/>
          <w:sz w:val="24"/>
          <w:szCs w:val="24"/>
        </w:rPr>
      </w:pPr>
    </w:p>
    <w:p w14:paraId="0EE90E28" w14:textId="14904451" w:rsidR="00297F99" w:rsidRPr="00563183" w:rsidRDefault="005B0CCE" w:rsidP="00B678FD">
      <w:pPr>
        <w:pStyle w:val="ListParagraph"/>
        <w:numPr>
          <w:ilvl w:val="0"/>
          <w:numId w:val="15"/>
        </w:numPr>
        <w:tabs>
          <w:tab w:val="left" w:pos="540"/>
        </w:tabs>
        <w:ind w:right="180"/>
        <w:jc w:val="both"/>
        <w:rPr>
          <w:rFonts w:eastAsia="Calibri" w:cstheme="minorHAnsi"/>
          <w:sz w:val="24"/>
          <w:szCs w:val="24"/>
        </w:rPr>
      </w:pPr>
      <w:bookmarkStart w:id="4" w:name="_Hlk90987459"/>
      <w:r w:rsidRPr="00563183">
        <w:rPr>
          <w:rFonts w:eastAsia="Calibri" w:cstheme="minorHAnsi"/>
          <w:sz w:val="24"/>
          <w:szCs w:val="24"/>
        </w:rPr>
        <w:t xml:space="preserve">Thiele discussed </w:t>
      </w:r>
      <w:bookmarkEnd w:id="4"/>
      <w:r w:rsidRPr="00563183">
        <w:rPr>
          <w:rFonts w:eastAsia="Calibri" w:cstheme="minorHAnsi"/>
          <w:sz w:val="24"/>
          <w:szCs w:val="24"/>
        </w:rPr>
        <w:t>newly added FAQ’s (frequently asked questions) to our website and asked for feedback from the Commissioners on suggested improvements. Thiele also discussed meeting minutes</w:t>
      </w:r>
      <w:r w:rsidR="00AC3A82" w:rsidRPr="00563183">
        <w:rPr>
          <w:rFonts w:eastAsia="Calibri" w:cstheme="minorHAnsi"/>
          <w:sz w:val="24"/>
          <w:szCs w:val="24"/>
        </w:rPr>
        <w:t xml:space="preserve"> and posting of videos to the website. He recommended posting the video for sixty days or approval of the minutes, whichever is longest.</w:t>
      </w:r>
      <w:r w:rsidR="00272FCF" w:rsidRPr="00563183">
        <w:rPr>
          <w:rFonts w:eastAsia="Calibri" w:cstheme="minorHAnsi"/>
          <w:sz w:val="24"/>
          <w:szCs w:val="24"/>
        </w:rPr>
        <w:t xml:space="preserve"> Commission Richards suggested posting for six months and the Commission retaining a copy indefinitely. Legal Counsel Allyson Hicks advised against posting a video as minutes are the official record of the meetings. She also expressed concern of liability and left it up to the Commission to decide.</w:t>
      </w:r>
      <w:r w:rsidR="00D7132D" w:rsidRPr="00563183">
        <w:rPr>
          <w:rFonts w:eastAsia="Calibri" w:cstheme="minorHAnsi"/>
          <w:sz w:val="24"/>
          <w:szCs w:val="24"/>
        </w:rPr>
        <w:t xml:space="preserve"> Commissioner Richard asked that we look at all options to post the videos</w:t>
      </w:r>
      <w:r w:rsidR="00ED5530" w:rsidRPr="00563183">
        <w:rPr>
          <w:rFonts w:eastAsia="Calibri" w:cstheme="minorHAnsi"/>
          <w:sz w:val="24"/>
          <w:szCs w:val="24"/>
        </w:rPr>
        <w:t xml:space="preserve"> as “read only”</w:t>
      </w:r>
      <w:r w:rsidR="00D7132D" w:rsidRPr="00563183">
        <w:rPr>
          <w:rFonts w:eastAsia="Calibri" w:cstheme="minorHAnsi"/>
          <w:sz w:val="24"/>
          <w:szCs w:val="24"/>
        </w:rPr>
        <w:t xml:space="preserve">. The Commission also discussed posting a transcript in lieu of a video and that we look at those options as well consulting with </w:t>
      </w:r>
      <w:r w:rsidR="00D7132D" w:rsidRPr="00563183">
        <w:rPr>
          <w:rFonts w:eastAsia="Calibri" w:cstheme="minorHAnsi"/>
          <w:sz w:val="24"/>
          <w:szCs w:val="24"/>
        </w:rPr>
        <w:lastRenderedPageBreak/>
        <w:t>an IT professional at overall options.</w:t>
      </w:r>
      <w:r w:rsidR="007E44F2" w:rsidRPr="00563183">
        <w:rPr>
          <w:rFonts w:eastAsia="Calibri" w:cstheme="minorHAnsi"/>
          <w:sz w:val="24"/>
          <w:szCs w:val="24"/>
        </w:rPr>
        <w:t xml:space="preserve"> Gaugler would present options to the Commission regarding posting videos and transcripts to the website.</w:t>
      </w:r>
    </w:p>
    <w:p w14:paraId="583D1FBE" w14:textId="77777777" w:rsidR="00ED5530" w:rsidRPr="00563183" w:rsidRDefault="00ED5530" w:rsidP="00ED5530">
      <w:pPr>
        <w:pStyle w:val="ListParagraph"/>
        <w:rPr>
          <w:rFonts w:eastAsia="Calibri" w:cstheme="minorHAnsi"/>
          <w:sz w:val="24"/>
          <w:szCs w:val="24"/>
        </w:rPr>
      </w:pPr>
    </w:p>
    <w:p w14:paraId="3DCBF7A4" w14:textId="0A2CE6A8" w:rsidR="00D2384D" w:rsidRPr="00563183" w:rsidRDefault="00ED5530" w:rsidP="007E44F2">
      <w:pPr>
        <w:pStyle w:val="ListParagraph"/>
        <w:numPr>
          <w:ilvl w:val="0"/>
          <w:numId w:val="15"/>
        </w:numPr>
        <w:tabs>
          <w:tab w:val="left" w:pos="540"/>
        </w:tabs>
        <w:ind w:right="180"/>
        <w:jc w:val="both"/>
        <w:rPr>
          <w:rFonts w:eastAsia="Calibri" w:cstheme="minorHAnsi"/>
          <w:sz w:val="24"/>
          <w:szCs w:val="24"/>
        </w:rPr>
      </w:pPr>
      <w:r w:rsidRPr="00563183">
        <w:rPr>
          <w:rFonts w:eastAsia="Calibri" w:cstheme="minorHAnsi"/>
          <w:sz w:val="24"/>
          <w:szCs w:val="24"/>
        </w:rPr>
        <w:t>Executive Director Thiele briefed the Commission on the November 30</w:t>
      </w:r>
      <w:r w:rsidRPr="00563183">
        <w:rPr>
          <w:rFonts w:eastAsia="Calibri" w:cstheme="minorHAnsi"/>
          <w:sz w:val="24"/>
          <w:szCs w:val="24"/>
          <w:vertAlign w:val="superscript"/>
        </w:rPr>
        <w:t>th</w:t>
      </w:r>
      <w:r w:rsidRPr="00563183">
        <w:rPr>
          <w:rFonts w:eastAsia="Calibri" w:cstheme="minorHAnsi"/>
          <w:sz w:val="24"/>
          <w:szCs w:val="24"/>
        </w:rPr>
        <w:t xml:space="preserve"> administrative hearing and the </w:t>
      </w:r>
      <w:r w:rsidR="00CF554C" w:rsidRPr="00563183">
        <w:rPr>
          <w:rFonts w:eastAsia="Calibri" w:cstheme="minorHAnsi"/>
          <w:sz w:val="24"/>
          <w:szCs w:val="24"/>
        </w:rPr>
        <w:t>requirements of the administrative hearing process.</w:t>
      </w:r>
      <w:r w:rsidR="00402429" w:rsidRPr="00563183">
        <w:rPr>
          <w:rFonts w:eastAsia="Calibri" w:cstheme="minorHAnsi"/>
          <w:sz w:val="24"/>
          <w:szCs w:val="24"/>
        </w:rPr>
        <w:t xml:space="preserve"> The only attendees at the November 30</w:t>
      </w:r>
      <w:r w:rsidR="00402429" w:rsidRPr="00563183">
        <w:rPr>
          <w:rFonts w:eastAsia="Calibri" w:cstheme="minorHAnsi"/>
          <w:sz w:val="24"/>
          <w:szCs w:val="24"/>
          <w:vertAlign w:val="superscript"/>
        </w:rPr>
        <w:t>th</w:t>
      </w:r>
      <w:r w:rsidR="00402429" w:rsidRPr="00563183">
        <w:rPr>
          <w:rFonts w:eastAsia="Calibri" w:cstheme="minorHAnsi"/>
          <w:sz w:val="24"/>
          <w:szCs w:val="24"/>
        </w:rPr>
        <w:t xml:space="preserve"> hearing were seven individuals from NDPI. NDPI</w:t>
      </w:r>
      <w:r w:rsidR="00431F32" w:rsidRPr="00563183">
        <w:rPr>
          <w:rFonts w:eastAsia="Calibri" w:cstheme="minorHAnsi"/>
          <w:sz w:val="24"/>
          <w:szCs w:val="24"/>
        </w:rPr>
        <w:t xml:space="preserve"> </w:t>
      </w:r>
      <w:r w:rsidR="00402429" w:rsidRPr="00563183">
        <w:rPr>
          <w:rFonts w:eastAsia="Calibri" w:cstheme="minorHAnsi"/>
          <w:sz w:val="24"/>
          <w:szCs w:val="24"/>
        </w:rPr>
        <w:t xml:space="preserve">suggested that the Commission adopt an administrative hearing process that would include </w:t>
      </w:r>
      <w:r w:rsidR="006B3B0D" w:rsidRPr="00563183">
        <w:rPr>
          <w:rFonts w:eastAsia="Calibri" w:cstheme="minorHAnsi"/>
          <w:sz w:val="24"/>
          <w:szCs w:val="24"/>
        </w:rPr>
        <w:t>the Commissioners and dialogue from attendees</w:t>
      </w:r>
      <w:r w:rsidR="00431F32" w:rsidRPr="00563183">
        <w:rPr>
          <w:rFonts w:eastAsia="Calibri" w:cstheme="minorHAnsi"/>
          <w:sz w:val="24"/>
          <w:szCs w:val="24"/>
        </w:rPr>
        <w:t xml:space="preserve"> and that the Commission provide more transparency in its option of rules through this process</w:t>
      </w:r>
      <w:r w:rsidR="006B3B0D" w:rsidRPr="00563183">
        <w:rPr>
          <w:rFonts w:eastAsia="Calibri" w:cstheme="minorHAnsi"/>
          <w:sz w:val="24"/>
          <w:szCs w:val="24"/>
        </w:rPr>
        <w:t>.</w:t>
      </w:r>
      <w:r w:rsidR="00431F32" w:rsidRPr="00563183">
        <w:rPr>
          <w:rFonts w:eastAsia="Calibri" w:cstheme="minorHAnsi"/>
          <w:sz w:val="24"/>
          <w:szCs w:val="24"/>
        </w:rPr>
        <w:t xml:space="preserve"> Thiele discussed the timeline of the development conflict of interest rules with a draft at the July </w:t>
      </w:r>
      <w:r w:rsidR="00740C75" w:rsidRPr="00563183">
        <w:rPr>
          <w:rFonts w:eastAsia="Calibri" w:cstheme="minorHAnsi"/>
          <w:sz w:val="24"/>
          <w:szCs w:val="24"/>
        </w:rPr>
        <w:t>28</w:t>
      </w:r>
      <w:r w:rsidR="00740C75" w:rsidRPr="00563183">
        <w:rPr>
          <w:rFonts w:eastAsia="Calibri" w:cstheme="minorHAnsi"/>
          <w:sz w:val="24"/>
          <w:szCs w:val="24"/>
          <w:vertAlign w:val="superscript"/>
        </w:rPr>
        <w:t>th</w:t>
      </w:r>
      <w:proofErr w:type="gramStart"/>
      <w:r w:rsidR="00740C75" w:rsidRPr="00563183">
        <w:rPr>
          <w:rFonts w:eastAsia="Calibri" w:cstheme="minorHAnsi"/>
          <w:sz w:val="24"/>
          <w:szCs w:val="24"/>
        </w:rPr>
        <w:t xml:space="preserve"> 2021</w:t>
      </w:r>
      <w:proofErr w:type="gramEnd"/>
      <w:r w:rsidR="00740C75" w:rsidRPr="00563183">
        <w:rPr>
          <w:rFonts w:eastAsia="Calibri" w:cstheme="minorHAnsi"/>
          <w:sz w:val="24"/>
          <w:szCs w:val="24"/>
        </w:rPr>
        <w:t xml:space="preserve"> </w:t>
      </w:r>
      <w:r w:rsidR="00431F32" w:rsidRPr="00563183">
        <w:rPr>
          <w:rFonts w:eastAsia="Calibri" w:cstheme="minorHAnsi"/>
          <w:sz w:val="24"/>
          <w:szCs w:val="24"/>
        </w:rPr>
        <w:t xml:space="preserve">Commission </w:t>
      </w:r>
      <w:r w:rsidR="00740C75" w:rsidRPr="00563183">
        <w:rPr>
          <w:rFonts w:eastAsia="Calibri" w:cstheme="minorHAnsi"/>
          <w:sz w:val="24"/>
          <w:szCs w:val="24"/>
        </w:rPr>
        <w:t xml:space="preserve">meeting that was substantially close to the final draft. Thiele did not recommend changing the administrative process to include public dialogue with the Commissioners as it is designed to take comments from the public and conduct individual research and </w:t>
      </w:r>
      <w:r w:rsidR="00184406" w:rsidRPr="00563183">
        <w:rPr>
          <w:rFonts w:eastAsia="Calibri" w:cstheme="minorHAnsi"/>
          <w:sz w:val="24"/>
          <w:szCs w:val="24"/>
        </w:rPr>
        <w:t xml:space="preserve">come together as a commission at a regular meeting. Legal Counsel concurred with Thiele that our administrative process </w:t>
      </w:r>
      <w:proofErr w:type="gramStart"/>
      <w:r w:rsidR="00184406" w:rsidRPr="00563183">
        <w:rPr>
          <w:rFonts w:eastAsia="Calibri" w:cstheme="minorHAnsi"/>
          <w:sz w:val="24"/>
          <w:szCs w:val="24"/>
        </w:rPr>
        <w:t>remain</w:t>
      </w:r>
      <w:proofErr w:type="gramEnd"/>
      <w:r w:rsidR="004467C8" w:rsidRPr="00563183">
        <w:rPr>
          <w:rFonts w:eastAsia="Calibri" w:cstheme="minorHAnsi"/>
          <w:sz w:val="24"/>
          <w:szCs w:val="24"/>
        </w:rPr>
        <w:t xml:space="preserve"> as they are and also express</w:t>
      </w:r>
      <w:r w:rsidR="007E44F2" w:rsidRPr="00563183">
        <w:rPr>
          <w:rFonts w:eastAsia="Calibri" w:cstheme="minorHAnsi"/>
          <w:sz w:val="24"/>
          <w:szCs w:val="24"/>
        </w:rPr>
        <w:t>ed</w:t>
      </w:r>
      <w:r w:rsidR="004467C8" w:rsidRPr="00563183">
        <w:rPr>
          <w:rFonts w:eastAsia="Calibri" w:cstheme="minorHAnsi"/>
          <w:sz w:val="24"/>
          <w:szCs w:val="24"/>
        </w:rPr>
        <w:t xml:space="preserve"> concern that individual dialogue between the public and a specific commissioner would not necessarily be the consensus of the Commission as a whole.</w:t>
      </w:r>
      <w:r w:rsidR="00016422" w:rsidRPr="00563183">
        <w:rPr>
          <w:rFonts w:eastAsia="Calibri" w:cstheme="minorHAnsi"/>
          <w:sz w:val="24"/>
          <w:szCs w:val="24"/>
        </w:rPr>
        <w:t xml:space="preserve"> Commissioner Richard concurred that the administrative process change, however, would rather</w:t>
      </w:r>
      <w:r w:rsidR="003D230B" w:rsidRPr="00563183">
        <w:rPr>
          <w:rFonts w:eastAsia="Calibri" w:cstheme="minorHAnsi"/>
          <w:sz w:val="24"/>
          <w:szCs w:val="24"/>
        </w:rPr>
        <w:t xml:space="preserve"> change the Commission’s procedures by</w:t>
      </w:r>
      <w:r w:rsidR="00016422" w:rsidRPr="00563183">
        <w:rPr>
          <w:rFonts w:eastAsia="Calibri" w:cstheme="minorHAnsi"/>
          <w:sz w:val="24"/>
          <w:szCs w:val="24"/>
        </w:rPr>
        <w:t xml:space="preserve"> request</w:t>
      </w:r>
      <w:r w:rsidR="003D230B" w:rsidRPr="00563183">
        <w:rPr>
          <w:rFonts w:eastAsia="Calibri" w:cstheme="minorHAnsi"/>
          <w:sz w:val="24"/>
          <w:szCs w:val="24"/>
        </w:rPr>
        <w:t>ing</w:t>
      </w:r>
      <w:r w:rsidR="00016422" w:rsidRPr="00563183">
        <w:rPr>
          <w:rFonts w:eastAsia="Calibri" w:cstheme="minorHAnsi"/>
          <w:sz w:val="24"/>
          <w:szCs w:val="24"/>
        </w:rPr>
        <w:t xml:space="preserve"> public comment</w:t>
      </w:r>
      <w:r w:rsidR="003D230B" w:rsidRPr="00563183">
        <w:rPr>
          <w:rFonts w:eastAsia="Calibri" w:cstheme="minorHAnsi"/>
          <w:sz w:val="24"/>
          <w:szCs w:val="24"/>
        </w:rPr>
        <w:t>s</w:t>
      </w:r>
      <w:r w:rsidR="00016422" w:rsidRPr="00563183">
        <w:rPr>
          <w:rFonts w:eastAsia="Calibri" w:cstheme="minorHAnsi"/>
          <w:sz w:val="24"/>
          <w:szCs w:val="24"/>
        </w:rPr>
        <w:t xml:space="preserve"> earlier in the process, potentially as early as the first drafting.</w:t>
      </w:r>
      <w:r w:rsidR="009466BB" w:rsidRPr="00563183">
        <w:rPr>
          <w:rFonts w:eastAsia="Calibri" w:cstheme="minorHAnsi"/>
          <w:sz w:val="24"/>
          <w:szCs w:val="24"/>
        </w:rPr>
        <w:t xml:space="preserve"> Thiele also concurred </w:t>
      </w:r>
      <w:r w:rsidR="00B5476E" w:rsidRPr="00563183">
        <w:rPr>
          <w:rFonts w:eastAsia="Calibri" w:cstheme="minorHAnsi"/>
          <w:sz w:val="24"/>
          <w:szCs w:val="24"/>
        </w:rPr>
        <w:t>that public comment earlier in the process would be very beneficial and he would be reaching out</w:t>
      </w:r>
      <w:r w:rsidR="009466BB" w:rsidRPr="00563183">
        <w:rPr>
          <w:rFonts w:eastAsia="Calibri" w:cstheme="minorHAnsi"/>
          <w:sz w:val="24"/>
          <w:szCs w:val="24"/>
        </w:rPr>
        <w:t xml:space="preserve"> to</w:t>
      </w:r>
      <w:r w:rsidR="00B5476E" w:rsidRPr="00563183">
        <w:rPr>
          <w:rFonts w:eastAsia="Calibri" w:cstheme="minorHAnsi"/>
          <w:sz w:val="24"/>
          <w:szCs w:val="24"/>
        </w:rPr>
        <w:t xml:space="preserve"> all</w:t>
      </w:r>
      <w:r w:rsidR="009466BB" w:rsidRPr="00563183">
        <w:rPr>
          <w:rFonts w:eastAsia="Calibri" w:cstheme="minorHAnsi"/>
          <w:sz w:val="24"/>
          <w:szCs w:val="24"/>
        </w:rPr>
        <w:t xml:space="preserve"> concerned parties</w:t>
      </w:r>
      <w:r w:rsidR="00B5476E" w:rsidRPr="00563183">
        <w:rPr>
          <w:rFonts w:eastAsia="Calibri" w:cstheme="minorHAnsi"/>
          <w:sz w:val="24"/>
          <w:szCs w:val="24"/>
        </w:rPr>
        <w:t xml:space="preserve"> throughout</w:t>
      </w:r>
      <w:r w:rsidR="009466BB" w:rsidRPr="00563183">
        <w:rPr>
          <w:rFonts w:eastAsia="Calibri" w:cstheme="minorHAnsi"/>
          <w:sz w:val="24"/>
          <w:szCs w:val="24"/>
        </w:rPr>
        <w:t xml:space="preserve">. </w:t>
      </w:r>
    </w:p>
    <w:p w14:paraId="11A62DF3" w14:textId="77777777" w:rsidR="00AD5672" w:rsidRPr="00563183" w:rsidRDefault="00AD5672" w:rsidP="00AD5672">
      <w:pPr>
        <w:pStyle w:val="ListParagraph"/>
        <w:tabs>
          <w:tab w:val="left" w:pos="540"/>
        </w:tabs>
        <w:ind w:left="360" w:right="180"/>
        <w:jc w:val="both"/>
        <w:rPr>
          <w:rFonts w:eastAsia="Calibri" w:cstheme="minorHAnsi"/>
          <w:sz w:val="24"/>
          <w:szCs w:val="24"/>
        </w:rPr>
      </w:pPr>
    </w:p>
    <w:p w14:paraId="7FFA1914" w14:textId="3185A0DC" w:rsidR="008D2DF2" w:rsidRPr="00563183" w:rsidRDefault="002D2EEB" w:rsidP="008D2DF2">
      <w:pPr>
        <w:pStyle w:val="ListParagraph"/>
        <w:numPr>
          <w:ilvl w:val="0"/>
          <w:numId w:val="1"/>
        </w:numPr>
        <w:tabs>
          <w:tab w:val="left" w:pos="540"/>
        </w:tabs>
        <w:ind w:right="180"/>
        <w:jc w:val="both"/>
        <w:rPr>
          <w:rFonts w:eastAsia="Calibri" w:cstheme="minorHAnsi"/>
          <w:sz w:val="24"/>
          <w:szCs w:val="24"/>
        </w:rPr>
      </w:pPr>
      <w:r w:rsidRPr="00563183">
        <w:rPr>
          <w:rFonts w:eastAsia="Calibri" w:cstheme="minorHAnsi"/>
          <w:sz w:val="24"/>
          <w:szCs w:val="24"/>
          <w:u w:val="single"/>
        </w:rPr>
        <w:t>Conflict Rule Comments</w:t>
      </w:r>
      <w:r w:rsidR="00353D9D" w:rsidRPr="00563183">
        <w:rPr>
          <w:rFonts w:eastAsia="Calibri" w:cstheme="minorHAnsi"/>
          <w:sz w:val="24"/>
          <w:szCs w:val="24"/>
          <w:u w:val="single"/>
        </w:rPr>
        <w:t xml:space="preserve"> Discussions</w:t>
      </w:r>
      <w:r w:rsidRPr="00563183">
        <w:rPr>
          <w:rFonts w:eastAsia="Calibri" w:cstheme="minorHAnsi"/>
          <w:sz w:val="24"/>
          <w:szCs w:val="24"/>
          <w:u w:val="single"/>
        </w:rPr>
        <w:t>:</w:t>
      </w:r>
      <w:r w:rsidRPr="00563183">
        <w:rPr>
          <w:rFonts w:eastAsia="Calibri" w:cstheme="minorHAnsi"/>
          <w:sz w:val="24"/>
          <w:szCs w:val="24"/>
        </w:rPr>
        <w:t xml:space="preserve"> </w:t>
      </w:r>
      <w:r w:rsidR="00B2090B" w:rsidRPr="00563183">
        <w:rPr>
          <w:rFonts w:eastAsia="Calibri" w:cstheme="minorHAnsi"/>
          <w:sz w:val="24"/>
          <w:szCs w:val="24"/>
        </w:rPr>
        <w:t xml:space="preserve"> </w:t>
      </w:r>
      <w:r w:rsidR="002C67E5" w:rsidRPr="00563183">
        <w:rPr>
          <w:rFonts w:eastAsia="Calibri" w:cstheme="minorHAnsi"/>
          <w:sz w:val="24"/>
          <w:szCs w:val="24"/>
        </w:rPr>
        <w:t>Commission</w:t>
      </w:r>
      <w:r w:rsidR="007E44F2" w:rsidRPr="00563183">
        <w:rPr>
          <w:rFonts w:eastAsia="Calibri" w:cstheme="minorHAnsi"/>
          <w:sz w:val="24"/>
          <w:szCs w:val="24"/>
        </w:rPr>
        <w:t>ers individually</w:t>
      </w:r>
      <w:r w:rsidR="002C67E5" w:rsidRPr="00563183">
        <w:rPr>
          <w:rFonts w:eastAsia="Calibri" w:cstheme="minorHAnsi"/>
          <w:sz w:val="24"/>
          <w:szCs w:val="24"/>
        </w:rPr>
        <w:t xml:space="preserve"> review</w:t>
      </w:r>
      <w:r w:rsidR="007E44F2" w:rsidRPr="00563183">
        <w:rPr>
          <w:rFonts w:eastAsia="Calibri" w:cstheme="minorHAnsi"/>
          <w:sz w:val="24"/>
          <w:szCs w:val="24"/>
        </w:rPr>
        <w:t>ed</w:t>
      </w:r>
      <w:r w:rsidR="002C67E5" w:rsidRPr="00563183">
        <w:rPr>
          <w:rFonts w:eastAsia="Calibri" w:cstheme="minorHAnsi"/>
          <w:sz w:val="24"/>
          <w:szCs w:val="24"/>
        </w:rPr>
        <w:t xml:space="preserve"> all </w:t>
      </w:r>
      <w:bookmarkStart w:id="5" w:name="_Hlk91507830"/>
      <w:r w:rsidR="002C67E5" w:rsidRPr="00563183">
        <w:rPr>
          <w:rFonts w:eastAsia="Calibri" w:cstheme="minorHAnsi"/>
          <w:sz w:val="24"/>
          <w:szCs w:val="24"/>
        </w:rPr>
        <w:fldChar w:fldCharType="begin"/>
      </w:r>
      <w:r w:rsidR="002C67E5" w:rsidRPr="00563183">
        <w:rPr>
          <w:rFonts w:eastAsia="Calibri" w:cstheme="minorHAnsi"/>
          <w:sz w:val="24"/>
          <w:szCs w:val="24"/>
        </w:rPr>
        <w:instrText xml:space="preserve"> HYPERLINK "https://www.ethicscommission.nd.gov/sites/www/files/documents/substantive%20comments%20on%20proposed%20conflict%20rule_revised.pdf" </w:instrText>
      </w:r>
      <w:r w:rsidR="002C67E5" w:rsidRPr="00563183">
        <w:rPr>
          <w:rFonts w:eastAsia="Calibri" w:cstheme="minorHAnsi"/>
          <w:sz w:val="24"/>
          <w:szCs w:val="24"/>
        </w:rPr>
        <w:fldChar w:fldCharType="separate"/>
      </w:r>
      <w:r w:rsidR="002C67E5" w:rsidRPr="00563183">
        <w:rPr>
          <w:rStyle w:val="Hyperlink"/>
          <w:rFonts w:eastAsia="Calibri" w:cstheme="minorHAnsi"/>
          <w:sz w:val="24"/>
          <w:szCs w:val="24"/>
        </w:rPr>
        <w:t>comments with specific concerns</w:t>
      </w:r>
      <w:r w:rsidR="002C67E5" w:rsidRPr="00563183">
        <w:rPr>
          <w:rFonts w:eastAsia="Calibri" w:cstheme="minorHAnsi"/>
          <w:sz w:val="24"/>
          <w:szCs w:val="24"/>
        </w:rPr>
        <w:fldChar w:fldCharType="end"/>
      </w:r>
      <w:r w:rsidR="002C67E5" w:rsidRPr="00563183">
        <w:rPr>
          <w:rFonts w:eastAsia="Calibri" w:cstheme="minorHAnsi"/>
          <w:sz w:val="24"/>
          <w:szCs w:val="24"/>
        </w:rPr>
        <w:t xml:space="preserve"> </w:t>
      </w:r>
      <w:bookmarkEnd w:id="5"/>
      <w:r w:rsidR="002C67E5" w:rsidRPr="00563183">
        <w:rPr>
          <w:rFonts w:eastAsia="Calibri" w:cstheme="minorHAnsi"/>
          <w:sz w:val="24"/>
          <w:szCs w:val="24"/>
        </w:rPr>
        <w:t xml:space="preserve">as well as </w:t>
      </w:r>
      <w:hyperlink r:id="rId8" w:history="1">
        <w:r w:rsidR="002C67E5" w:rsidRPr="00563183">
          <w:rPr>
            <w:rStyle w:val="Hyperlink"/>
            <w:rFonts w:eastAsia="Calibri" w:cstheme="minorHAnsi"/>
            <w:sz w:val="24"/>
            <w:szCs w:val="24"/>
          </w:rPr>
          <w:t>nonspecific comments</w:t>
        </w:r>
      </w:hyperlink>
      <w:r w:rsidR="00B536AA" w:rsidRPr="00563183">
        <w:rPr>
          <w:rFonts w:eastAsia="Calibri" w:cstheme="minorHAnsi"/>
          <w:sz w:val="24"/>
          <w:szCs w:val="24"/>
        </w:rPr>
        <w:t xml:space="preserve">, </w:t>
      </w:r>
      <w:r w:rsidR="004A719C" w:rsidRPr="00563183">
        <w:rPr>
          <w:rFonts w:eastAsia="Calibri" w:cstheme="minorHAnsi"/>
          <w:sz w:val="24"/>
          <w:szCs w:val="24"/>
        </w:rPr>
        <w:t xml:space="preserve">as </w:t>
      </w:r>
      <w:r w:rsidR="00B536AA" w:rsidRPr="00563183">
        <w:rPr>
          <w:rFonts w:eastAsia="Calibri" w:cstheme="minorHAnsi"/>
          <w:sz w:val="24"/>
          <w:szCs w:val="24"/>
        </w:rPr>
        <w:t xml:space="preserve">posted to the ND Ethics Commission website at ethicscommission.nd.gov. However, the Commission </w:t>
      </w:r>
      <w:r w:rsidR="002C67E5" w:rsidRPr="00563183">
        <w:rPr>
          <w:rFonts w:eastAsia="Calibri" w:cstheme="minorHAnsi"/>
          <w:sz w:val="24"/>
          <w:szCs w:val="24"/>
        </w:rPr>
        <w:t xml:space="preserve">will not finalize an updated version until an Attorney General’s opinion is issued. </w:t>
      </w:r>
      <w:r w:rsidR="004A719C" w:rsidRPr="00563183">
        <w:rPr>
          <w:rFonts w:eastAsia="Calibri" w:cstheme="minorHAnsi"/>
          <w:sz w:val="24"/>
          <w:szCs w:val="24"/>
        </w:rPr>
        <w:t>Executive Director Thiele</w:t>
      </w:r>
      <w:r w:rsidR="002C67E5" w:rsidRPr="00563183">
        <w:rPr>
          <w:rFonts w:eastAsia="Calibri" w:cstheme="minorHAnsi"/>
          <w:sz w:val="24"/>
          <w:szCs w:val="24"/>
        </w:rPr>
        <w:t xml:space="preserve"> indicated the comments sent by Mr. </w:t>
      </w:r>
      <w:proofErr w:type="spellStart"/>
      <w:r w:rsidR="002C67E5" w:rsidRPr="00563183">
        <w:rPr>
          <w:rFonts w:eastAsia="Calibri" w:cstheme="minorHAnsi"/>
          <w:sz w:val="24"/>
          <w:szCs w:val="24"/>
        </w:rPr>
        <w:t>Mckean</w:t>
      </w:r>
      <w:proofErr w:type="spellEnd"/>
      <w:r w:rsidR="002C67E5" w:rsidRPr="00563183">
        <w:rPr>
          <w:rFonts w:eastAsia="Calibri" w:cstheme="minorHAnsi"/>
          <w:sz w:val="24"/>
          <w:szCs w:val="24"/>
        </w:rPr>
        <w:t xml:space="preserve"> on the Caperton case will be used in conjunction with specific public comments as </w:t>
      </w:r>
      <w:r w:rsidR="00A34048" w:rsidRPr="00563183">
        <w:rPr>
          <w:rFonts w:eastAsia="Calibri" w:cstheme="minorHAnsi"/>
          <w:sz w:val="24"/>
          <w:szCs w:val="24"/>
        </w:rPr>
        <w:t xml:space="preserve">draft </w:t>
      </w:r>
      <w:r w:rsidR="002C67E5" w:rsidRPr="00563183">
        <w:rPr>
          <w:rFonts w:eastAsia="Calibri" w:cstheme="minorHAnsi"/>
          <w:sz w:val="24"/>
          <w:szCs w:val="24"/>
        </w:rPr>
        <w:t xml:space="preserve">rules are revised by the Commission. </w:t>
      </w:r>
      <w:r w:rsidR="0012591A" w:rsidRPr="00563183">
        <w:rPr>
          <w:rFonts w:eastAsia="Calibri" w:cstheme="minorHAnsi"/>
          <w:sz w:val="24"/>
          <w:szCs w:val="24"/>
        </w:rPr>
        <w:t>Thiele walked the Commission throug</w:t>
      </w:r>
      <w:r w:rsidR="00B2090B" w:rsidRPr="00563183">
        <w:rPr>
          <w:rFonts w:eastAsia="Calibri" w:cstheme="minorHAnsi"/>
          <w:sz w:val="24"/>
          <w:szCs w:val="24"/>
        </w:rPr>
        <w:t>h each comment with specific concerns.</w:t>
      </w:r>
      <w:r w:rsidR="00FD56BF" w:rsidRPr="00563183">
        <w:rPr>
          <w:rFonts w:eastAsia="Calibri" w:cstheme="minorHAnsi"/>
          <w:sz w:val="24"/>
          <w:szCs w:val="24"/>
        </w:rPr>
        <w:tab/>
      </w:r>
    </w:p>
    <w:p w14:paraId="10495A02" w14:textId="77777777" w:rsidR="008D2DF2" w:rsidRPr="00563183" w:rsidRDefault="008D2DF2" w:rsidP="008D2DF2">
      <w:pPr>
        <w:pStyle w:val="ListParagraph"/>
        <w:rPr>
          <w:rFonts w:eastAsia="Calibri" w:cstheme="minorHAnsi"/>
          <w:sz w:val="24"/>
          <w:szCs w:val="24"/>
        </w:rPr>
      </w:pPr>
    </w:p>
    <w:p w14:paraId="0B091EA2" w14:textId="73E84153" w:rsidR="002867F4" w:rsidRDefault="00940C66" w:rsidP="002867F4">
      <w:pPr>
        <w:pStyle w:val="ListParagraph"/>
        <w:numPr>
          <w:ilvl w:val="0"/>
          <w:numId w:val="18"/>
        </w:numPr>
        <w:tabs>
          <w:tab w:val="left" w:pos="540"/>
        </w:tabs>
        <w:ind w:right="180"/>
        <w:jc w:val="both"/>
        <w:rPr>
          <w:rFonts w:eastAsia="Calibri" w:cstheme="minorHAnsi"/>
          <w:sz w:val="24"/>
          <w:szCs w:val="24"/>
        </w:rPr>
      </w:pPr>
      <w:r w:rsidRPr="00563183">
        <w:rPr>
          <w:rFonts w:eastAsia="Calibri" w:cstheme="minorHAnsi"/>
          <w:sz w:val="24"/>
          <w:szCs w:val="24"/>
        </w:rPr>
        <w:t xml:space="preserve">Howard and </w:t>
      </w:r>
      <w:r w:rsidR="00AF6130" w:rsidRPr="00563183">
        <w:rPr>
          <w:rFonts w:eastAsia="Calibri" w:cstheme="minorHAnsi"/>
          <w:sz w:val="24"/>
          <w:szCs w:val="24"/>
        </w:rPr>
        <w:t>Kathleen Tweeten, October 27, 2021</w:t>
      </w:r>
    </w:p>
    <w:p w14:paraId="301EFB13" w14:textId="77777777" w:rsidR="00756140" w:rsidRDefault="00756140" w:rsidP="00756140">
      <w:pPr>
        <w:pStyle w:val="ListParagraph"/>
        <w:tabs>
          <w:tab w:val="left" w:pos="540"/>
        </w:tabs>
        <w:ind w:left="900" w:right="180"/>
        <w:jc w:val="both"/>
        <w:rPr>
          <w:rFonts w:eastAsia="Calibri" w:cstheme="minorHAnsi"/>
          <w:sz w:val="24"/>
          <w:szCs w:val="24"/>
        </w:rPr>
      </w:pPr>
    </w:p>
    <w:p w14:paraId="3FB23085" w14:textId="01B2DDAC" w:rsidR="008D2DF2" w:rsidRPr="002867F4" w:rsidRDefault="00242048" w:rsidP="002867F4">
      <w:pPr>
        <w:pStyle w:val="ListParagraph"/>
        <w:tabs>
          <w:tab w:val="left" w:pos="540"/>
        </w:tabs>
        <w:ind w:left="900" w:right="180"/>
        <w:jc w:val="both"/>
        <w:rPr>
          <w:rFonts w:eastAsia="Calibri" w:cstheme="minorHAnsi"/>
          <w:sz w:val="24"/>
          <w:szCs w:val="24"/>
        </w:rPr>
      </w:pPr>
      <w:r w:rsidRPr="002867F4">
        <w:rPr>
          <w:rFonts w:eastAsia="Calibri" w:cstheme="minorHAnsi"/>
          <w:sz w:val="24"/>
          <w:szCs w:val="24"/>
        </w:rPr>
        <w:t>This comment requested</w:t>
      </w:r>
      <w:r w:rsidR="00E17A5D" w:rsidRPr="002867F4">
        <w:rPr>
          <w:rFonts w:eastAsia="Calibri" w:cstheme="minorHAnsi"/>
          <w:sz w:val="24"/>
          <w:szCs w:val="24"/>
        </w:rPr>
        <w:t xml:space="preserve"> </w:t>
      </w:r>
      <w:r w:rsidR="00B008D6" w:rsidRPr="002867F4">
        <w:rPr>
          <w:rFonts w:eastAsia="Calibri" w:cstheme="minorHAnsi"/>
          <w:sz w:val="24"/>
          <w:szCs w:val="24"/>
        </w:rPr>
        <w:t xml:space="preserve">115-04-01-01 (5.a.) </w:t>
      </w:r>
      <w:r w:rsidRPr="002867F4">
        <w:rPr>
          <w:rFonts w:cstheme="minorHAnsi"/>
          <w:sz w:val="24"/>
          <w:szCs w:val="24"/>
        </w:rPr>
        <w:t xml:space="preserve">Campaign donations made in accordance with North Dakota or federal law </w:t>
      </w:r>
      <w:r w:rsidRPr="002867F4">
        <w:rPr>
          <w:rFonts w:eastAsia="Calibri" w:cstheme="minorHAnsi"/>
          <w:sz w:val="24"/>
          <w:szCs w:val="24"/>
        </w:rPr>
        <w:t xml:space="preserve">to be removed from the exclusion of </w:t>
      </w:r>
      <w:r w:rsidRPr="002867F4">
        <w:rPr>
          <w:rFonts w:cstheme="minorHAnsi"/>
          <w:sz w:val="24"/>
          <w:szCs w:val="24"/>
        </w:rPr>
        <w:t>“Significant financial interest” or “significant business interest”. Thiele stated that this language was taken directly out of NDCC 54-</w:t>
      </w:r>
      <w:r w:rsidR="00E303CB" w:rsidRPr="002867F4">
        <w:rPr>
          <w:rFonts w:cstheme="minorHAnsi"/>
          <w:sz w:val="24"/>
          <w:szCs w:val="24"/>
        </w:rPr>
        <w:t xml:space="preserve">66, he also stated that </w:t>
      </w:r>
      <w:r w:rsidR="00E17A5D" w:rsidRPr="002867F4">
        <w:rPr>
          <w:rFonts w:cstheme="minorHAnsi"/>
          <w:sz w:val="24"/>
          <w:szCs w:val="24"/>
        </w:rPr>
        <w:t>it was not the</w:t>
      </w:r>
      <w:r w:rsidR="00E303CB" w:rsidRPr="002867F4">
        <w:rPr>
          <w:rFonts w:cstheme="minorHAnsi"/>
          <w:sz w:val="24"/>
          <w:szCs w:val="24"/>
        </w:rPr>
        <w:t xml:space="preserve"> intent </w:t>
      </w:r>
      <w:r w:rsidR="00706BA0" w:rsidRPr="002867F4">
        <w:rPr>
          <w:rFonts w:cstheme="minorHAnsi"/>
          <w:sz w:val="24"/>
          <w:szCs w:val="24"/>
        </w:rPr>
        <w:t xml:space="preserve">to </w:t>
      </w:r>
      <w:r w:rsidR="00E303CB" w:rsidRPr="002867F4">
        <w:rPr>
          <w:rFonts w:cstheme="minorHAnsi"/>
          <w:sz w:val="24"/>
          <w:szCs w:val="24"/>
        </w:rPr>
        <w:t>not ever exclude because of campaign donations but understands the confusion and may be clarified in future revisions based upon the Caperton case.</w:t>
      </w:r>
      <w:r w:rsidRPr="002867F4">
        <w:rPr>
          <w:rFonts w:cstheme="minorHAnsi"/>
          <w:sz w:val="24"/>
          <w:szCs w:val="24"/>
        </w:rPr>
        <w:t xml:space="preserve"> </w:t>
      </w:r>
      <w:r w:rsidR="00D2384D" w:rsidRPr="002867F4">
        <w:rPr>
          <w:rFonts w:eastAsia="Calibri" w:cstheme="minorHAnsi"/>
          <w:sz w:val="24"/>
          <w:szCs w:val="24"/>
        </w:rPr>
        <w:t xml:space="preserve">Commissioner Richard commented that the initial draft of the conflict rules was based on other states’ rules, particularly the state of Nevada which had been </w:t>
      </w:r>
      <w:r w:rsidR="00BA4D62">
        <w:rPr>
          <w:rFonts w:eastAsia="Calibri" w:cstheme="minorHAnsi"/>
          <w:sz w:val="24"/>
          <w:szCs w:val="24"/>
        </w:rPr>
        <w:t xml:space="preserve">considered in a case before </w:t>
      </w:r>
      <w:r w:rsidR="00D2384D" w:rsidRPr="002867F4">
        <w:rPr>
          <w:rFonts w:eastAsia="Calibri" w:cstheme="minorHAnsi"/>
          <w:sz w:val="24"/>
          <w:szCs w:val="24"/>
        </w:rPr>
        <w:t xml:space="preserve">the </w:t>
      </w:r>
      <w:r w:rsidR="00BA4D62">
        <w:rPr>
          <w:rFonts w:eastAsia="Calibri" w:cstheme="minorHAnsi"/>
          <w:sz w:val="24"/>
          <w:szCs w:val="24"/>
        </w:rPr>
        <w:t xml:space="preserve">US </w:t>
      </w:r>
      <w:r w:rsidR="00D2384D" w:rsidRPr="002867F4">
        <w:rPr>
          <w:rFonts w:eastAsia="Calibri" w:cstheme="minorHAnsi"/>
          <w:sz w:val="24"/>
          <w:szCs w:val="24"/>
        </w:rPr>
        <w:lastRenderedPageBreak/>
        <w:t>Supreme Court. He also commented that in his opinion, quasi-judicial and executive roles need to be split out in the rule draft.</w:t>
      </w:r>
    </w:p>
    <w:p w14:paraId="0C8C7752" w14:textId="77777777" w:rsidR="008D2DF2" w:rsidRPr="00563183" w:rsidRDefault="008D2DF2" w:rsidP="008D2DF2">
      <w:pPr>
        <w:pStyle w:val="ListParagraph"/>
        <w:tabs>
          <w:tab w:val="left" w:pos="540"/>
        </w:tabs>
        <w:ind w:left="360" w:right="180"/>
        <w:jc w:val="both"/>
        <w:rPr>
          <w:rFonts w:eastAsia="Calibri" w:cstheme="minorHAnsi"/>
          <w:sz w:val="24"/>
          <w:szCs w:val="24"/>
        </w:rPr>
      </w:pPr>
    </w:p>
    <w:p w14:paraId="202FBCFC" w14:textId="66D70CB8" w:rsidR="002867F4" w:rsidRDefault="00B536AA" w:rsidP="00756140">
      <w:pPr>
        <w:pStyle w:val="ListParagraph"/>
        <w:numPr>
          <w:ilvl w:val="0"/>
          <w:numId w:val="16"/>
        </w:numPr>
        <w:ind w:left="900" w:right="180"/>
        <w:jc w:val="both"/>
        <w:rPr>
          <w:rFonts w:eastAsia="Calibri" w:cstheme="minorHAnsi"/>
          <w:sz w:val="24"/>
          <w:szCs w:val="24"/>
        </w:rPr>
      </w:pPr>
      <w:r w:rsidRPr="00563183">
        <w:rPr>
          <w:rFonts w:eastAsia="Calibri" w:cstheme="minorHAnsi"/>
          <w:sz w:val="24"/>
          <w:szCs w:val="24"/>
        </w:rPr>
        <w:t>North Dakotans for Public Integrity, Inc. (NDPI), November 22, 2021</w:t>
      </w:r>
    </w:p>
    <w:p w14:paraId="630FE59A" w14:textId="77777777" w:rsidR="00756140" w:rsidRPr="00756140" w:rsidRDefault="00756140" w:rsidP="00756140">
      <w:pPr>
        <w:pStyle w:val="ListParagraph"/>
        <w:ind w:left="900" w:right="180"/>
        <w:jc w:val="both"/>
        <w:rPr>
          <w:rFonts w:eastAsia="Calibri" w:cstheme="minorHAnsi"/>
          <w:sz w:val="24"/>
          <w:szCs w:val="24"/>
        </w:rPr>
      </w:pPr>
    </w:p>
    <w:p w14:paraId="646574D5" w14:textId="0A86FB07" w:rsidR="00484C0F" w:rsidRDefault="00484C0F" w:rsidP="00484C0F">
      <w:pPr>
        <w:pStyle w:val="ListParagraph"/>
        <w:numPr>
          <w:ilvl w:val="0"/>
          <w:numId w:val="19"/>
        </w:numPr>
        <w:ind w:right="180"/>
        <w:jc w:val="both"/>
        <w:rPr>
          <w:rFonts w:eastAsia="Calibri" w:cstheme="minorHAnsi"/>
          <w:sz w:val="24"/>
          <w:szCs w:val="24"/>
        </w:rPr>
      </w:pPr>
      <w:r w:rsidRPr="00563183">
        <w:rPr>
          <w:rFonts w:eastAsia="Calibri" w:cstheme="minorHAnsi"/>
          <w:sz w:val="24"/>
          <w:szCs w:val="24"/>
        </w:rPr>
        <w:t>D</w:t>
      </w:r>
      <w:r w:rsidR="00706BA0" w:rsidRPr="00563183">
        <w:rPr>
          <w:rFonts w:eastAsia="Calibri" w:cstheme="minorHAnsi"/>
          <w:sz w:val="24"/>
          <w:szCs w:val="24"/>
        </w:rPr>
        <w:t>efinition of quasi-judicial in 115-04-01</w:t>
      </w:r>
      <w:r w:rsidR="00BC6B55" w:rsidRPr="00563183">
        <w:rPr>
          <w:rFonts w:eastAsia="Calibri" w:cstheme="minorHAnsi"/>
          <w:sz w:val="24"/>
          <w:szCs w:val="24"/>
        </w:rPr>
        <w:t>-01</w:t>
      </w:r>
      <w:r w:rsidR="00706BA0" w:rsidRPr="00563183">
        <w:rPr>
          <w:rFonts w:eastAsia="Calibri" w:cstheme="minorHAnsi"/>
          <w:sz w:val="24"/>
          <w:szCs w:val="24"/>
        </w:rPr>
        <w:t>(6)</w:t>
      </w:r>
      <w:r w:rsidR="009260A4" w:rsidRPr="00563183">
        <w:rPr>
          <w:rFonts w:eastAsia="Calibri" w:cstheme="minorHAnsi"/>
          <w:sz w:val="24"/>
          <w:szCs w:val="24"/>
        </w:rPr>
        <w:t xml:space="preserve"> </w:t>
      </w:r>
    </w:p>
    <w:p w14:paraId="7758E739" w14:textId="77777777" w:rsidR="00D9631E" w:rsidRPr="00563183" w:rsidRDefault="00D9631E" w:rsidP="00D9631E">
      <w:pPr>
        <w:pStyle w:val="ListParagraph"/>
        <w:ind w:left="1800" w:right="180"/>
        <w:jc w:val="both"/>
        <w:rPr>
          <w:rFonts w:eastAsia="Calibri" w:cstheme="minorHAnsi"/>
          <w:sz w:val="24"/>
          <w:szCs w:val="24"/>
        </w:rPr>
      </w:pPr>
    </w:p>
    <w:p w14:paraId="295A9739" w14:textId="77777777" w:rsidR="002867F4" w:rsidRDefault="009260A4" w:rsidP="00484C0F">
      <w:pPr>
        <w:pStyle w:val="ListParagraph"/>
        <w:ind w:left="1800" w:right="180"/>
        <w:jc w:val="both"/>
        <w:rPr>
          <w:rFonts w:eastAsia="Calibri" w:cstheme="minorHAnsi"/>
          <w:sz w:val="24"/>
          <w:szCs w:val="24"/>
        </w:rPr>
      </w:pPr>
      <w:r w:rsidRPr="00563183">
        <w:rPr>
          <w:rFonts w:eastAsia="Calibri" w:cstheme="minorHAnsi"/>
          <w:sz w:val="24"/>
          <w:szCs w:val="24"/>
        </w:rPr>
        <w:t>NDPI asked that the first sentence be deleted leaving the second sentence. Thiele explained that the definition was based on</w:t>
      </w:r>
      <w:r w:rsidR="003B5D08" w:rsidRPr="00563183">
        <w:rPr>
          <w:rFonts w:eastAsia="Calibri" w:cstheme="minorHAnsi"/>
          <w:sz w:val="24"/>
          <w:szCs w:val="24"/>
        </w:rPr>
        <w:t xml:space="preserve"> </w:t>
      </w:r>
      <w:r w:rsidRPr="00563183">
        <w:rPr>
          <w:rFonts w:eastAsia="Calibri" w:cstheme="minorHAnsi"/>
          <w:sz w:val="24"/>
          <w:szCs w:val="24"/>
        </w:rPr>
        <w:t>legal counsel Allyson Hicks</w:t>
      </w:r>
      <w:r w:rsidR="003B5D08" w:rsidRPr="00563183">
        <w:rPr>
          <w:rFonts w:eastAsia="Calibri" w:cstheme="minorHAnsi"/>
          <w:sz w:val="24"/>
          <w:szCs w:val="24"/>
        </w:rPr>
        <w:t>’</w:t>
      </w:r>
      <w:r w:rsidRPr="00563183">
        <w:rPr>
          <w:rFonts w:eastAsia="Calibri" w:cstheme="minorHAnsi"/>
          <w:sz w:val="24"/>
          <w:szCs w:val="24"/>
        </w:rPr>
        <w:t xml:space="preserve"> memo and the North Dakota Courts definition.</w:t>
      </w:r>
      <w:r w:rsidR="00C076C3" w:rsidRPr="00563183">
        <w:rPr>
          <w:rFonts w:eastAsia="Calibri" w:cstheme="minorHAnsi"/>
          <w:sz w:val="24"/>
          <w:szCs w:val="24"/>
        </w:rPr>
        <w:t xml:space="preserve"> Commissioner Richard also commented that this followed a ND Supreme Court definition of quasi-judicial.</w:t>
      </w:r>
    </w:p>
    <w:p w14:paraId="65283EEB" w14:textId="35D78D75" w:rsidR="00BC6B55" w:rsidRPr="00563183" w:rsidRDefault="00E17A5D" w:rsidP="00484C0F">
      <w:pPr>
        <w:pStyle w:val="ListParagraph"/>
        <w:ind w:left="1800" w:right="180"/>
        <w:jc w:val="both"/>
        <w:rPr>
          <w:rFonts w:eastAsia="Calibri" w:cstheme="minorHAnsi"/>
          <w:sz w:val="24"/>
          <w:szCs w:val="24"/>
        </w:rPr>
      </w:pPr>
      <w:r w:rsidRPr="00563183">
        <w:rPr>
          <w:rFonts w:eastAsia="Calibri" w:cstheme="minorHAnsi"/>
          <w:sz w:val="24"/>
          <w:szCs w:val="24"/>
        </w:rPr>
        <w:t xml:space="preserve"> </w:t>
      </w:r>
    </w:p>
    <w:p w14:paraId="2D8B4851" w14:textId="6271C92A" w:rsidR="002867F4" w:rsidRDefault="00484C0F" w:rsidP="002867F4">
      <w:pPr>
        <w:pStyle w:val="ListParagraph"/>
        <w:numPr>
          <w:ilvl w:val="0"/>
          <w:numId w:val="19"/>
        </w:numPr>
        <w:ind w:right="180"/>
        <w:jc w:val="both"/>
        <w:rPr>
          <w:rFonts w:eastAsia="Calibri" w:cstheme="minorHAnsi"/>
          <w:sz w:val="24"/>
          <w:szCs w:val="24"/>
        </w:rPr>
      </w:pPr>
      <w:r w:rsidRPr="00563183">
        <w:rPr>
          <w:rFonts w:eastAsia="Calibri" w:cstheme="minorHAnsi"/>
          <w:sz w:val="24"/>
          <w:szCs w:val="24"/>
        </w:rPr>
        <w:t>Unauthorized Exemptions</w:t>
      </w:r>
    </w:p>
    <w:p w14:paraId="423F443F" w14:textId="77777777" w:rsidR="002867F4" w:rsidRPr="002867F4" w:rsidRDefault="002867F4" w:rsidP="002867F4">
      <w:pPr>
        <w:pStyle w:val="ListParagraph"/>
        <w:ind w:left="1800" w:right="180"/>
        <w:jc w:val="both"/>
        <w:rPr>
          <w:rFonts w:eastAsia="Calibri" w:cstheme="minorHAnsi"/>
          <w:sz w:val="24"/>
          <w:szCs w:val="24"/>
        </w:rPr>
      </w:pPr>
    </w:p>
    <w:p w14:paraId="183BB301" w14:textId="29294653" w:rsidR="00162F59" w:rsidRPr="0078242A" w:rsidRDefault="00484C0F" w:rsidP="00484C0F">
      <w:pPr>
        <w:pStyle w:val="ListParagraph"/>
        <w:numPr>
          <w:ilvl w:val="0"/>
          <w:numId w:val="20"/>
        </w:numPr>
        <w:ind w:right="180"/>
        <w:jc w:val="both"/>
        <w:rPr>
          <w:rFonts w:eastAsia="Calibri" w:cstheme="minorHAnsi"/>
          <w:sz w:val="24"/>
          <w:szCs w:val="24"/>
          <w:u w:val="single"/>
        </w:rPr>
      </w:pPr>
      <w:r w:rsidRPr="0078242A">
        <w:rPr>
          <w:rFonts w:eastAsia="Calibri" w:cstheme="minorHAnsi"/>
          <w:sz w:val="24"/>
          <w:szCs w:val="24"/>
          <w:u w:val="single"/>
        </w:rPr>
        <w:t xml:space="preserve">Campaign </w:t>
      </w:r>
      <w:r w:rsidR="002867F4" w:rsidRPr="0078242A">
        <w:rPr>
          <w:rFonts w:eastAsia="Calibri" w:cstheme="minorHAnsi"/>
          <w:sz w:val="24"/>
          <w:szCs w:val="24"/>
          <w:u w:val="single"/>
        </w:rPr>
        <w:t>Contribu</w:t>
      </w:r>
      <w:r w:rsidRPr="0078242A">
        <w:rPr>
          <w:rFonts w:eastAsia="Calibri" w:cstheme="minorHAnsi"/>
          <w:sz w:val="24"/>
          <w:szCs w:val="24"/>
          <w:u w:val="single"/>
        </w:rPr>
        <w:t>tions</w:t>
      </w:r>
      <w:bookmarkStart w:id="6" w:name="_Hlk91510873"/>
    </w:p>
    <w:bookmarkEnd w:id="6"/>
    <w:p w14:paraId="3340D725" w14:textId="291E2541" w:rsidR="002867F4" w:rsidRPr="0078242A" w:rsidRDefault="00C0612A" w:rsidP="0078242A">
      <w:pPr>
        <w:pStyle w:val="ListParagraph"/>
        <w:ind w:left="2160" w:right="180"/>
        <w:jc w:val="both"/>
        <w:rPr>
          <w:rFonts w:eastAsia="Calibri" w:cstheme="minorHAnsi"/>
          <w:sz w:val="24"/>
          <w:szCs w:val="24"/>
        </w:rPr>
      </w:pPr>
      <w:r w:rsidRPr="00563183">
        <w:rPr>
          <w:rFonts w:eastAsia="Calibri" w:cstheme="minorHAnsi"/>
          <w:sz w:val="24"/>
          <w:szCs w:val="24"/>
        </w:rPr>
        <w:t>C</w:t>
      </w:r>
      <w:r w:rsidR="00162F59" w:rsidRPr="00563183">
        <w:rPr>
          <w:rFonts w:eastAsia="Calibri" w:cstheme="minorHAnsi"/>
          <w:sz w:val="24"/>
          <w:szCs w:val="24"/>
        </w:rPr>
        <w:t xml:space="preserve">omment </w:t>
      </w:r>
      <w:r w:rsidR="00E17A5D" w:rsidRPr="00563183">
        <w:rPr>
          <w:rFonts w:eastAsia="Calibri" w:cstheme="minorHAnsi"/>
          <w:sz w:val="24"/>
          <w:szCs w:val="24"/>
        </w:rPr>
        <w:t xml:space="preserve">was </w:t>
      </w:r>
      <w:proofErr w:type="gramStart"/>
      <w:r w:rsidR="00E17A5D" w:rsidRPr="00563183">
        <w:rPr>
          <w:rFonts w:eastAsia="Calibri" w:cstheme="minorHAnsi"/>
          <w:sz w:val="24"/>
          <w:szCs w:val="24"/>
        </w:rPr>
        <w:t>similar to</w:t>
      </w:r>
      <w:proofErr w:type="gramEnd"/>
      <w:r w:rsidR="00E17A5D" w:rsidRPr="00563183">
        <w:rPr>
          <w:rFonts w:eastAsia="Calibri" w:cstheme="minorHAnsi"/>
          <w:sz w:val="24"/>
          <w:szCs w:val="24"/>
        </w:rPr>
        <w:t xml:space="preserve"> the Tweeten comment above </w:t>
      </w:r>
      <w:r w:rsidR="00162F59" w:rsidRPr="00563183">
        <w:rPr>
          <w:rFonts w:eastAsia="Calibri" w:cstheme="minorHAnsi"/>
          <w:sz w:val="24"/>
          <w:szCs w:val="24"/>
        </w:rPr>
        <w:t>to</w:t>
      </w:r>
      <w:r w:rsidR="00E17A5D" w:rsidRPr="00563183">
        <w:rPr>
          <w:rFonts w:eastAsia="Calibri" w:cstheme="minorHAnsi"/>
          <w:sz w:val="24"/>
          <w:szCs w:val="24"/>
        </w:rPr>
        <w:t xml:space="preserve"> delete </w:t>
      </w:r>
      <w:r w:rsidR="00162F59" w:rsidRPr="00563183">
        <w:rPr>
          <w:rFonts w:eastAsia="Calibri" w:cstheme="minorHAnsi"/>
          <w:sz w:val="24"/>
          <w:szCs w:val="24"/>
        </w:rPr>
        <w:t>115-04-01-01 (5.a.)</w:t>
      </w:r>
    </w:p>
    <w:p w14:paraId="0C4A6753" w14:textId="46B679E7" w:rsidR="00B008D6" w:rsidRPr="0078242A" w:rsidRDefault="00B008D6" w:rsidP="00B008D6">
      <w:pPr>
        <w:pStyle w:val="ListParagraph"/>
        <w:numPr>
          <w:ilvl w:val="0"/>
          <w:numId w:val="20"/>
        </w:numPr>
        <w:ind w:right="180"/>
        <w:jc w:val="both"/>
        <w:rPr>
          <w:rFonts w:eastAsia="Calibri" w:cstheme="minorHAnsi"/>
          <w:sz w:val="24"/>
          <w:szCs w:val="24"/>
          <w:u w:val="single"/>
        </w:rPr>
      </w:pPr>
      <w:r w:rsidRPr="0078242A">
        <w:rPr>
          <w:rFonts w:eastAsia="Calibri" w:cstheme="minorHAnsi"/>
          <w:sz w:val="24"/>
          <w:szCs w:val="24"/>
          <w:u w:val="single"/>
        </w:rPr>
        <w:t>Vague Language and Loopholes</w:t>
      </w:r>
    </w:p>
    <w:p w14:paraId="2A99A49C" w14:textId="4CC62A21" w:rsidR="00C0612A" w:rsidRPr="0078242A" w:rsidRDefault="00C0612A" w:rsidP="0078242A">
      <w:pPr>
        <w:pStyle w:val="ListParagraph"/>
        <w:ind w:left="2160" w:right="180"/>
        <w:jc w:val="both"/>
        <w:rPr>
          <w:rFonts w:eastAsia="Calibri" w:cstheme="minorHAnsi"/>
          <w:sz w:val="24"/>
          <w:szCs w:val="24"/>
        </w:rPr>
      </w:pPr>
      <w:r w:rsidRPr="00563183">
        <w:rPr>
          <w:rFonts w:eastAsia="Calibri" w:cstheme="minorHAnsi"/>
          <w:sz w:val="24"/>
          <w:szCs w:val="24"/>
        </w:rPr>
        <w:t>C</w:t>
      </w:r>
      <w:r w:rsidR="003B5D08" w:rsidRPr="00563183">
        <w:rPr>
          <w:rFonts w:eastAsia="Calibri" w:cstheme="minorHAnsi"/>
          <w:sz w:val="24"/>
          <w:szCs w:val="24"/>
        </w:rPr>
        <w:t xml:space="preserve">omment to delete </w:t>
      </w:r>
      <w:r w:rsidR="00B008D6" w:rsidRPr="00563183">
        <w:rPr>
          <w:rFonts w:eastAsia="Calibri" w:cstheme="minorHAnsi"/>
          <w:sz w:val="24"/>
          <w:szCs w:val="24"/>
        </w:rPr>
        <w:t>115-04-01-01 (5.</w:t>
      </w:r>
      <w:r w:rsidRPr="00563183">
        <w:rPr>
          <w:rFonts w:eastAsia="Calibri" w:cstheme="minorHAnsi"/>
          <w:sz w:val="24"/>
          <w:szCs w:val="24"/>
        </w:rPr>
        <w:t>b</w:t>
      </w:r>
      <w:r w:rsidR="00B008D6" w:rsidRPr="00563183">
        <w:rPr>
          <w:rFonts w:eastAsia="Calibri" w:cstheme="minorHAnsi"/>
          <w:sz w:val="24"/>
          <w:szCs w:val="24"/>
        </w:rPr>
        <w:t>.)</w:t>
      </w:r>
      <w:r w:rsidRPr="00563183">
        <w:rPr>
          <w:rFonts w:eastAsia="Calibri" w:cstheme="minorHAnsi"/>
          <w:sz w:val="24"/>
          <w:szCs w:val="24"/>
        </w:rPr>
        <w:t xml:space="preserve"> </w:t>
      </w:r>
      <w:r w:rsidR="003B5D08" w:rsidRPr="00563183">
        <w:rPr>
          <w:rFonts w:eastAsia="Calibri" w:cstheme="minorHAnsi"/>
          <w:sz w:val="24"/>
          <w:szCs w:val="24"/>
        </w:rPr>
        <w:t xml:space="preserve">which Thiele stated also came directly from legislative language in </w:t>
      </w:r>
      <w:r w:rsidR="00176635" w:rsidRPr="00563183">
        <w:rPr>
          <w:rFonts w:eastAsia="Calibri" w:cstheme="minorHAnsi"/>
          <w:sz w:val="24"/>
          <w:szCs w:val="24"/>
        </w:rPr>
        <w:t xml:space="preserve">NDCC </w:t>
      </w:r>
      <w:r w:rsidR="003B5D08" w:rsidRPr="00563183">
        <w:rPr>
          <w:rFonts w:eastAsia="Calibri" w:cstheme="minorHAnsi"/>
          <w:sz w:val="24"/>
          <w:szCs w:val="24"/>
        </w:rPr>
        <w:t>54-66</w:t>
      </w:r>
      <w:r w:rsidR="00937AC6" w:rsidRPr="00563183">
        <w:rPr>
          <w:rFonts w:eastAsia="Calibri" w:cstheme="minorHAnsi"/>
          <w:sz w:val="24"/>
          <w:szCs w:val="24"/>
        </w:rPr>
        <w:t>-17</w:t>
      </w:r>
      <w:r w:rsidR="003B5D08" w:rsidRPr="00563183">
        <w:rPr>
          <w:rFonts w:eastAsia="Calibri" w:cstheme="minorHAnsi"/>
          <w:sz w:val="24"/>
          <w:szCs w:val="24"/>
        </w:rPr>
        <w:t>.</w:t>
      </w:r>
      <w:r w:rsidR="00176635" w:rsidRPr="00563183">
        <w:rPr>
          <w:rFonts w:eastAsia="Calibri" w:cstheme="minorHAnsi"/>
          <w:sz w:val="24"/>
          <w:szCs w:val="24"/>
        </w:rPr>
        <w:t xml:space="preserve"> Hicks commented that language in NDCC 54-66, in her opinion, could not be ignored. Richard also commented that this language was consistent with the state’s judicial court of conduct. Thiele asked that NDPI present a scenario where this could be an area of direct conflict.</w:t>
      </w:r>
    </w:p>
    <w:p w14:paraId="083B7D7E" w14:textId="77777777" w:rsidR="00C0612A" w:rsidRPr="0078242A" w:rsidRDefault="00C0612A" w:rsidP="00C0612A">
      <w:pPr>
        <w:pStyle w:val="ListParagraph"/>
        <w:numPr>
          <w:ilvl w:val="0"/>
          <w:numId w:val="20"/>
        </w:numPr>
        <w:ind w:right="180"/>
        <w:jc w:val="both"/>
        <w:rPr>
          <w:rFonts w:eastAsia="Calibri" w:cstheme="minorHAnsi"/>
          <w:sz w:val="24"/>
          <w:szCs w:val="24"/>
          <w:u w:val="single"/>
        </w:rPr>
      </w:pPr>
      <w:r w:rsidRPr="0078242A">
        <w:rPr>
          <w:rFonts w:eastAsia="Calibri" w:cstheme="minorHAnsi"/>
          <w:sz w:val="24"/>
          <w:szCs w:val="24"/>
          <w:u w:val="single"/>
        </w:rPr>
        <w:t>Rule of Necessity</w:t>
      </w:r>
    </w:p>
    <w:p w14:paraId="543EE452" w14:textId="1D91B2E8" w:rsidR="00D9631E" w:rsidRPr="0078242A" w:rsidRDefault="00C0612A" w:rsidP="0078242A">
      <w:pPr>
        <w:pStyle w:val="ListParagraph"/>
        <w:ind w:left="2160" w:right="180"/>
        <w:jc w:val="both"/>
        <w:rPr>
          <w:rFonts w:eastAsia="Calibri" w:cstheme="minorHAnsi"/>
          <w:sz w:val="24"/>
          <w:szCs w:val="24"/>
        </w:rPr>
      </w:pPr>
      <w:bookmarkStart w:id="7" w:name="_Hlk91511652"/>
      <w:r w:rsidRPr="00563183">
        <w:rPr>
          <w:rFonts w:eastAsia="Calibri" w:cstheme="minorHAnsi"/>
          <w:sz w:val="24"/>
          <w:szCs w:val="24"/>
        </w:rPr>
        <w:t>Comment to delete all of</w:t>
      </w:r>
      <w:r w:rsidR="00566266" w:rsidRPr="00563183">
        <w:rPr>
          <w:rFonts w:eastAsia="Calibri" w:cstheme="minorHAnsi"/>
          <w:sz w:val="24"/>
          <w:szCs w:val="24"/>
        </w:rPr>
        <w:t xml:space="preserve"> 115-04-01-03 </w:t>
      </w:r>
      <w:r w:rsidRPr="00563183">
        <w:rPr>
          <w:rFonts w:eastAsia="Calibri" w:cstheme="minorHAnsi"/>
          <w:sz w:val="24"/>
          <w:szCs w:val="24"/>
        </w:rPr>
        <w:t>and</w:t>
      </w:r>
      <w:r w:rsidR="00566266" w:rsidRPr="00563183">
        <w:rPr>
          <w:rFonts w:eastAsia="Calibri" w:cstheme="minorHAnsi"/>
          <w:sz w:val="24"/>
          <w:szCs w:val="24"/>
        </w:rPr>
        <w:t xml:space="preserve"> replace with a requirement that all relevant entities have a policy that designates a substitute decision-maker if the responsible individual has a conflict of interest.</w:t>
      </w:r>
      <w:bookmarkEnd w:id="7"/>
      <w:r w:rsidR="00A34048" w:rsidRPr="00563183">
        <w:rPr>
          <w:rFonts w:eastAsia="Calibri" w:cstheme="minorHAnsi"/>
          <w:sz w:val="24"/>
          <w:szCs w:val="24"/>
        </w:rPr>
        <w:t xml:space="preserve"> Both Thiele and Richard commented that this will be further reviewed and clarified as the Commission looks at separate sections of the rule</w:t>
      </w:r>
      <w:r w:rsidR="00086E18" w:rsidRPr="00563183">
        <w:rPr>
          <w:rFonts w:eastAsia="Calibri" w:cstheme="minorHAnsi"/>
          <w:sz w:val="24"/>
          <w:szCs w:val="24"/>
        </w:rPr>
        <w:t>,</w:t>
      </w:r>
      <w:r w:rsidR="00A34048" w:rsidRPr="00563183">
        <w:rPr>
          <w:rFonts w:eastAsia="Calibri" w:cstheme="minorHAnsi"/>
          <w:sz w:val="24"/>
          <w:szCs w:val="24"/>
        </w:rPr>
        <w:t xml:space="preserve"> splitting out quasi-judicial and executive actions. </w:t>
      </w:r>
    </w:p>
    <w:p w14:paraId="7A7B43B8" w14:textId="77777777" w:rsidR="00086E18" w:rsidRPr="0078242A" w:rsidRDefault="00604870" w:rsidP="00086E18">
      <w:pPr>
        <w:pStyle w:val="ListParagraph"/>
        <w:numPr>
          <w:ilvl w:val="0"/>
          <w:numId w:val="20"/>
        </w:numPr>
        <w:ind w:right="180"/>
        <w:jc w:val="both"/>
        <w:rPr>
          <w:rFonts w:eastAsia="Calibri" w:cstheme="minorHAnsi"/>
          <w:sz w:val="24"/>
          <w:szCs w:val="24"/>
          <w:u w:val="single"/>
        </w:rPr>
      </w:pPr>
      <w:r w:rsidRPr="0078242A">
        <w:rPr>
          <w:rFonts w:eastAsia="Calibri" w:cstheme="minorHAnsi"/>
          <w:sz w:val="24"/>
          <w:szCs w:val="24"/>
          <w:u w:val="single"/>
        </w:rPr>
        <w:t>Loophole for Evading Disqualification</w:t>
      </w:r>
    </w:p>
    <w:p w14:paraId="74B9C23D" w14:textId="144DC4EA" w:rsidR="00086E18" w:rsidRDefault="00604870" w:rsidP="0078242A">
      <w:pPr>
        <w:pStyle w:val="ListParagraph"/>
        <w:ind w:left="2160" w:right="180"/>
        <w:jc w:val="both"/>
        <w:rPr>
          <w:rFonts w:eastAsia="Calibri" w:cstheme="minorHAnsi"/>
          <w:sz w:val="24"/>
          <w:szCs w:val="24"/>
        </w:rPr>
      </w:pPr>
      <w:r w:rsidRPr="00563183">
        <w:rPr>
          <w:rFonts w:eastAsia="Calibri" w:cstheme="minorHAnsi"/>
          <w:sz w:val="24"/>
          <w:szCs w:val="24"/>
        </w:rPr>
        <w:t xml:space="preserve"> </w:t>
      </w:r>
      <w:r w:rsidR="00086E18" w:rsidRPr="00563183">
        <w:rPr>
          <w:rFonts w:eastAsia="Calibri" w:cstheme="minorHAnsi"/>
          <w:sz w:val="24"/>
          <w:szCs w:val="24"/>
        </w:rPr>
        <w:t>Comment to delete all of 115-04-01-03 and replace with a requirement that all relevant entities have a policy that designates a substitute decision-maker if the responsible individual has a conflict of interest.</w:t>
      </w:r>
      <w:r w:rsidRPr="00563183">
        <w:rPr>
          <w:rFonts w:eastAsia="Calibri" w:cstheme="minorHAnsi"/>
          <w:sz w:val="24"/>
          <w:szCs w:val="24"/>
        </w:rPr>
        <w:t xml:space="preserve"> NDPI’s concerns were that the rules provide loopholes restricting disqualification that are not provided for in the Constitution. </w:t>
      </w:r>
      <w:r w:rsidR="002A48CC" w:rsidRPr="00563183">
        <w:rPr>
          <w:rFonts w:eastAsia="Calibri" w:cstheme="minorHAnsi"/>
          <w:sz w:val="24"/>
          <w:szCs w:val="24"/>
        </w:rPr>
        <w:t>Thiele stated that this was also related to the previous comment on “rule of necessity” and will likely be addressed by the Commission through the Caperton criteria.</w:t>
      </w:r>
    </w:p>
    <w:p w14:paraId="0687EFF2" w14:textId="280CCD77" w:rsidR="0078242A" w:rsidRDefault="0078242A" w:rsidP="0078242A">
      <w:pPr>
        <w:pStyle w:val="ListParagraph"/>
        <w:ind w:left="2160" w:right="180"/>
        <w:jc w:val="both"/>
        <w:rPr>
          <w:rFonts w:eastAsia="Calibri" w:cstheme="minorHAnsi"/>
          <w:sz w:val="24"/>
          <w:szCs w:val="24"/>
        </w:rPr>
      </w:pPr>
    </w:p>
    <w:p w14:paraId="0E330AB3" w14:textId="77777777" w:rsidR="0078242A" w:rsidRPr="0078242A" w:rsidRDefault="0078242A" w:rsidP="0078242A">
      <w:pPr>
        <w:pStyle w:val="ListParagraph"/>
        <w:ind w:left="2160" w:right="180"/>
        <w:jc w:val="both"/>
        <w:rPr>
          <w:rFonts w:eastAsia="Calibri" w:cstheme="minorHAnsi"/>
          <w:sz w:val="24"/>
          <w:szCs w:val="24"/>
        </w:rPr>
      </w:pPr>
    </w:p>
    <w:p w14:paraId="548A6F8D" w14:textId="461A75F4" w:rsidR="00086E18" w:rsidRPr="0078242A" w:rsidRDefault="00086E18" w:rsidP="00086E18">
      <w:pPr>
        <w:pStyle w:val="ListParagraph"/>
        <w:numPr>
          <w:ilvl w:val="0"/>
          <w:numId w:val="20"/>
        </w:numPr>
        <w:ind w:right="180"/>
        <w:jc w:val="both"/>
        <w:rPr>
          <w:rFonts w:eastAsia="Calibri" w:cstheme="minorHAnsi"/>
          <w:sz w:val="24"/>
          <w:szCs w:val="24"/>
          <w:u w:val="single"/>
        </w:rPr>
      </w:pPr>
      <w:r w:rsidRPr="0078242A">
        <w:rPr>
          <w:rFonts w:eastAsia="Calibri" w:cstheme="minorHAnsi"/>
          <w:sz w:val="24"/>
          <w:szCs w:val="24"/>
          <w:u w:val="single"/>
        </w:rPr>
        <w:lastRenderedPageBreak/>
        <w:t xml:space="preserve">Definition of </w:t>
      </w:r>
      <w:r w:rsidR="00B419E9" w:rsidRPr="0078242A">
        <w:rPr>
          <w:rFonts w:eastAsia="Calibri" w:cstheme="minorHAnsi"/>
          <w:sz w:val="24"/>
          <w:szCs w:val="24"/>
          <w:u w:val="single"/>
        </w:rPr>
        <w:t>“</w:t>
      </w:r>
      <w:r w:rsidRPr="0078242A">
        <w:rPr>
          <w:rFonts w:eastAsia="Calibri" w:cstheme="minorHAnsi"/>
          <w:sz w:val="24"/>
          <w:szCs w:val="24"/>
          <w:u w:val="single"/>
        </w:rPr>
        <w:t>Gift</w:t>
      </w:r>
      <w:r w:rsidR="00B419E9" w:rsidRPr="0078242A">
        <w:rPr>
          <w:rFonts w:eastAsia="Calibri" w:cstheme="minorHAnsi"/>
          <w:sz w:val="24"/>
          <w:szCs w:val="24"/>
          <w:u w:val="single"/>
        </w:rPr>
        <w:t>”</w:t>
      </w:r>
    </w:p>
    <w:p w14:paraId="4DDA9E8B" w14:textId="2BE28615" w:rsidR="00FA532E" w:rsidRPr="0078242A" w:rsidRDefault="00FA532E" w:rsidP="0078242A">
      <w:pPr>
        <w:pStyle w:val="ListParagraph"/>
        <w:ind w:left="2160" w:right="180"/>
        <w:jc w:val="both"/>
        <w:rPr>
          <w:rFonts w:eastAsia="Calibri" w:cstheme="minorHAnsi"/>
          <w:sz w:val="24"/>
          <w:szCs w:val="24"/>
        </w:rPr>
      </w:pPr>
      <w:r w:rsidRPr="00563183">
        <w:rPr>
          <w:rFonts w:eastAsia="Calibri" w:cstheme="minorHAnsi"/>
          <w:sz w:val="24"/>
          <w:szCs w:val="24"/>
        </w:rPr>
        <w:t>Comment regarding the exemption of campaign contributions under the definition of “gift” stating Article XIV does not allow that exemption for conflict of interest.</w:t>
      </w:r>
      <w:r w:rsidR="006C1CBC" w:rsidRPr="00563183">
        <w:rPr>
          <w:rFonts w:eastAsia="Calibri" w:cstheme="minorHAnsi"/>
          <w:sz w:val="24"/>
          <w:szCs w:val="24"/>
        </w:rPr>
        <w:t xml:space="preserve"> Both Richard and Thiele commented that this would</w:t>
      </w:r>
      <w:r w:rsidR="00B419E9" w:rsidRPr="00563183">
        <w:rPr>
          <w:rFonts w:eastAsia="Calibri" w:cstheme="minorHAnsi"/>
          <w:sz w:val="24"/>
          <w:szCs w:val="24"/>
        </w:rPr>
        <w:t xml:space="preserve"> most likely</w:t>
      </w:r>
      <w:r w:rsidR="006C1CBC" w:rsidRPr="00563183">
        <w:rPr>
          <w:rFonts w:eastAsia="Calibri" w:cstheme="minorHAnsi"/>
          <w:sz w:val="24"/>
          <w:szCs w:val="24"/>
        </w:rPr>
        <w:t xml:space="preserve"> be rewritten upon the </w:t>
      </w:r>
      <w:r w:rsidR="002F2AE1" w:rsidRPr="00563183">
        <w:rPr>
          <w:rFonts w:eastAsia="Calibri" w:cstheme="minorHAnsi"/>
          <w:sz w:val="24"/>
          <w:szCs w:val="24"/>
        </w:rPr>
        <w:t>adoption by the Commission of the Caperton criteria.</w:t>
      </w:r>
    </w:p>
    <w:p w14:paraId="6C1747EF" w14:textId="1A051E14" w:rsidR="00B419E9" w:rsidRPr="0078242A" w:rsidRDefault="00B419E9" w:rsidP="00FA532E">
      <w:pPr>
        <w:pStyle w:val="ListParagraph"/>
        <w:numPr>
          <w:ilvl w:val="0"/>
          <w:numId w:val="20"/>
        </w:numPr>
        <w:ind w:right="180"/>
        <w:jc w:val="both"/>
        <w:rPr>
          <w:rFonts w:eastAsia="Calibri" w:cstheme="minorHAnsi"/>
          <w:sz w:val="24"/>
          <w:szCs w:val="24"/>
          <w:u w:val="single"/>
        </w:rPr>
      </w:pPr>
      <w:r w:rsidRPr="0078242A">
        <w:rPr>
          <w:rFonts w:eastAsia="Calibri" w:cstheme="minorHAnsi"/>
          <w:sz w:val="24"/>
          <w:szCs w:val="24"/>
          <w:u w:val="single"/>
        </w:rPr>
        <w:t>D</w:t>
      </w:r>
      <w:r w:rsidR="002F2AE1" w:rsidRPr="0078242A">
        <w:rPr>
          <w:rFonts w:eastAsia="Calibri" w:cstheme="minorHAnsi"/>
          <w:sz w:val="24"/>
          <w:szCs w:val="24"/>
          <w:u w:val="single"/>
        </w:rPr>
        <w:t>efinition of “</w:t>
      </w:r>
      <w:r w:rsidRPr="0078242A">
        <w:rPr>
          <w:rFonts w:eastAsia="Calibri" w:cstheme="minorHAnsi"/>
          <w:sz w:val="24"/>
          <w:szCs w:val="24"/>
          <w:u w:val="single"/>
        </w:rPr>
        <w:t>C</w:t>
      </w:r>
      <w:r w:rsidR="002F2AE1" w:rsidRPr="0078242A">
        <w:rPr>
          <w:rFonts w:eastAsia="Calibri" w:cstheme="minorHAnsi"/>
          <w:sz w:val="24"/>
          <w:szCs w:val="24"/>
          <w:u w:val="single"/>
        </w:rPr>
        <w:t xml:space="preserve">onflict of </w:t>
      </w:r>
      <w:r w:rsidRPr="0078242A">
        <w:rPr>
          <w:rFonts w:eastAsia="Calibri" w:cstheme="minorHAnsi"/>
          <w:sz w:val="24"/>
          <w:szCs w:val="24"/>
          <w:u w:val="single"/>
        </w:rPr>
        <w:t>I</w:t>
      </w:r>
      <w:r w:rsidR="002F2AE1" w:rsidRPr="0078242A">
        <w:rPr>
          <w:rFonts w:eastAsia="Calibri" w:cstheme="minorHAnsi"/>
          <w:sz w:val="24"/>
          <w:szCs w:val="24"/>
          <w:u w:val="single"/>
        </w:rPr>
        <w:t>nterest”</w:t>
      </w:r>
    </w:p>
    <w:p w14:paraId="66283640" w14:textId="4ACB2B97" w:rsidR="00B419E9" w:rsidRDefault="00987D55" w:rsidP="00B419E9">
      <w:pPr>
        <w:pStyle w:val="ListParagraph"/>
        <w:ind w:left="2160" w:right="180"/>
        <w:jc w:val="both"/>
        <w:rPr>
          <w:rFonts w:eastAsia="Calibri" w:cstheme="minorHAnsi"/>
          <w:sz w:val="24"/>
          <w:szCs w:val="24"/>
        </w:rPr>
      </w:pPr>
      <w:r w:rsidRPr="00563183">
        <w:rPr>
          <w:rFonts w:eastAsia="Calibri" w:cstheme="minorHAnsi"/>
          <w:sz w:val="24"/>
          <w:szCs w:val="24"/>
        </w:rPr>
        <w:t xml:space="preserve">Comments made by Hicks, Thiele and Richard agreed that this definition will change as the rules are split out by quasi-judicial and executive. </w:t>
      </w:r>
    </w:p>
    <w:p w14:paraId="6F5427C7" w14:textId="77777777" w:rsidR="00D9631E" w:rsidRPr="00563183" w:rsidRDefault="00D9631E" w:rsidP="00B419E9">
      <w:pPr>
        <w:pStyle w:val="ListParagraph"/>
        <w:ind w:left="2160" w:right="180"/>
        <w:jc w:val="both"/>
        <w:rPr>
          <w:rFonts w:eastAsia="Calibri" w:cstheme="minorHAnsi"/>
          <w:sz w:val="24"/>
          <w:szCs w:val="24"/>
        </w:rPr>
      </w:pPr>
    </w:p>
    <w:p w14:paraId="4D3ABDD6" w14:textId="77EC99A0" w:rsidR="00B419E9" w:rsidRPr="00563183" w:rsidRDefault="001B72F2" w:rsidP="002867F4">
      <w:pPr>
        <w:pStyle w:val="ListParagraph"/>
        <w:numPr>
          <w:ilvl w:val="0"/>
          <w:numId w:val="19"/>
        </w:numPr>
        <w:ind w:left="1710" w:right="180" w:hanging="450"/>
        <w:jc w:val="both"/>
        <w:rPr>
          <w:rFonts w:eastAsia="Calibri" w:cstheme="minorHAnsi"/>
          <w:sz w:val="24"/>
          <w:szCs w:val="24"/>
        </w:rPr>
      </w:pPr>
      <w:r w:rsidRPr="00563183">
        <w:rPr>
          <w:rFonts w:eastAsia="Calibri" w:cstheme="minorHAnsi"/>
          <w:sz w:val="24"/>
          <w:szCs w:val="24"/>
        </w:rPr>
        <w:t xml:space="preserve">Two </w:t>
      </w:r>
      <w:r w:rsidR="00B419E9" w:rsidRPr="00563183">
        <w:rPr>
          <w:rFonts w:eastAsia="Calibri" w:cstheme="minorHAnsi"/>
          <w:sz w:val="24"/>
          <w:szCs w:val="24"/>
        </w:rPr>
        <w:t>Commission Decisions Related to Draft Rules</w:t>
      </w:r>
    </w:p>
    <w:p w14:paraId="79973A5A" w14:textId="3C163B3F" w:rsidR="00AF6130" w:rsidRPr="00563183" w:rsidRDefault="00987D55" w:rsidP="002867F4">
      <w:pPr>
        <w:pStyle w:val="ListParagraph"/>
        <w:ind w:left="1710" w:right="180"/>
        <w:jc w:val="both"/>
        <w:rPr>
          <w:rFonts w:eastAsia="Calibri" w:cstheme="minorHAnsi"/>
          <w:sz w:val="24"/>
          <w:szCs w:val="24"/>
        </w:rPr>
      </w:pPr>
      <w:r w:rsidRPr="00563183">
        <w:rPr>
          <w:rFonts w:eastAsia="Calibri" w:cstheme="minorHAnsi"/>
          <w:sz w:val="24"/>
          <w:szCs w:val="24"/>
        </w:rPr>
        <w:t xml:space="preserve">NDPI also commented on the </w:t>
      </w:r>
      <w:r w:rsidR="00044516" w:rsidRPr="00563183">
        <w:rPr>
          <w:rFonts w:eastAsia="Calibri" w:cstheme="minorHAnsi"/>
          <w:sz w:val="24"/>
          <w:szCs w:val="24"/>
        </w:rPr>
        <w:t xml:space="preserve">request for an Attorney General opinion and his conflict with issuing an opinion. </w:t>
      </w:r>
      <w:r w:rsidR="00F754B1" w:rsidRPr="00563183">
        <w:rPr>
          <w:rFonts w:eastAsia="Calibri" w:cstheme="minorHAnsi"/>
          <w:sz w:val="24"/>
          <w:szCs w:val="24"/>
        </w:rPr>
        <w:t xml:space="preserve">The Commission did not want to revise their </w:t>
      </w:r>
      <w:r w:rsidR="001B72F2" w:rsidRPr="00563183">
        <w:rPr>
          <w:rFonts w:eastAsia="Calibri" w:cstheme="minorHAnsi"/>
          <w:sz w:val="24"/>
          <w:szCs w:val="24"/>
        </w:rPr>
        <w:t xml:space="preserve">original </w:t>
      </w:r>
      <w:r w:rsidR="00F754B1" w:rsidRPr="00563183">
        <w:rPr>
          <w:rFonts w:eastAsia="Calibri" w:cstheme="minorHAnsi"/>
          <w:sz w:val="24"/>
          <w:szCs w:val="24"/>
        </w:rPr>
        <w:t xml:space="preserve">request to include the Caperton case as it was getting very late to request a revision. </w:t>
      </w:r>
      <w:r w:rsidR="001B72F2" w:rsidRPr="00563183">
        <w:rPr>
          <w:rFonts w:eastAsia="Calibri" w:cstheme="minorHAnsi"/>
          <w:sz w:val="24"/>
          <w:szCs w:val="24"/>
        </w:rPr>
        <w:t>The other concern regarding Commission decisions was</w:t>
      </w:r>
      <w:r w:rsidR="00F754B1" w:rsidRPr="00563183">
        <w:rPr>
          <w:rFonts w:eastAsia="Calibri" w:cstheme="minorHAnsi"/>
          <w:sz w:val="24"/>
          <w:szCs w:val="24"/>
        </w:rPr>
        <w:t xml:space="preserve"> the</w:t>
      </w:r>
      <w:r w:rsidR="001B72F2" w:rsidRPr="00563183">
        <w:rPr>
          <w:rFonts w:eastAsia="Calibri" w:cstheme="minorHAnsi"/>
          <w:sz w:val="24"/>
          <w:szCs w:val="24"/>
        </w:rPr>
        <w:t xml:space="preserve"> format of the</w:t>
      </w:r>
      <w:r w:rsidR="00F754B1" w:rsidRPr="00563183">
        <w:rPr>
          <w:rFonts w:eastAsia="Calibri" w:cstheme="minorHAnsi"/>
          <w:sz w:val="24"/>
          <w:szCs w:val="24"/>
        </w:rPr>
        <w:t xml:space="preserve"> November 30</w:t>
      </w:r>
      <w:r w:rsidR="00F754B1" w:rsidRPr="00563183">
        <w:rPr>
          <w:rFonts w:eastAsia="Calibri" w:cstheme="minorHAnsi"/>
          <w:sz w:val="24"/>
          <w:szCs w:val="24"/>
          <w:vertAlign w:val="superscript"/>
        </w:rPr>
        <w:t>th</w:t>
      </w:r>
      <w:r w:rsidR="00F754B1" w:rsidRPr="00563183">
        <w:rPr>
          <w:rFonts w:eastAsia="Calibri" w:cstheme="minorHAnsi"/>
          <w:sz w:val="24"/>
          <w:szCs w:val="24"/>
        </w:rPr>
        <w:t xml:space="preserve"> administrative hearing. </w:t>
      </w:r>
      <w:r w:rsidR="00E64BE9" w:rsidRPr="00563183">
        <w:rPr>
          <w:rFonts w:eastAsia="Calibri" w:cstheme="minorHAnsi"/>
          <w:sz w:val="24"/>
          <w:szCs w:val="24"/>
        </w:rPr>
        <w:t xml:space="preserve">Both Thiele and Richard commented that although </w:t>
      </w:r>
      <w:r w:rsidR="001B72F2" w:rsidRPr="00563183">
        <w:rPr>
          <w:rFonts w:eastAsia="Calibri" w:cstheme="minorHAnsi"/>
          <w:sz w:val="24"/>
          <w:szCs w:val="24"/>
        </w:rPr>
        <w:t xml:space="preserve">it clearly </w:t>
      </w:r>
      <w:r w:rsidR="00E64BE9" w:rsidRPr="00563183">
        <w:rPr>
          <w:rFonts w:eastAsia="Calibri" w:cstheme="minorHAnsi"/>
          <w:sz w:val="24"/>
          <w:szCs w:val="24"/>
        </w:rPr>
        <w:t>follow</w:t>
      </w:r>
      <w:r w:rsidR="001B72F2" w:rsidRPr="00563183">
        <w:rPr>
          <w:rFonts w:eastAsia="Calibri" w:cstheme="minorHAnsi"/>
          <w:sz w:val="24"/>
          <w:szCs w:val="24"/>
        </w:rPr>
        <w:t>ed</w:t>
      </w:r>
      <w:r w:rsidR="00E64BE9" w:rsidRPr="00563183">
        <w:rPr>
          <w:rFonts w:eastAsia="Calibri" w:cstheme="minorHAnsi"/>
          <w:sz w:val="24"/>
          <w:szCs w:val="24"/>
        </w:rPr>
        <w:t xml:space="preserve"> the appropriate process of an administrative hearing, earlier requests for comments</w:t>
      </w:r>
      <w:r w:rsidR="00991731" w:rsidRPr="00563183">
        <w:rPr>
          <w:rFonts w:eastAsia="Calibri" w:cstheme="minorHAnsi"/>
          <w:sz w:val="24"/>
          <w:szCs w:val="24"/>
        </w:rPr>
        <w:t xml:space="preserve"> in the rule drafting would likely make this type of hearing more acceptable to </w:t>
      </w:r>
      <w:r w:rsidR="00D9631E">
        <w:rPr>
          <w:rFonts w:eastAsia="Calibri" w:cstheme="minorHAnsi"/>
          <w:sz w:val="24"/>
          <w:szCs w:val="24"/>
        </w:rPr>
        <w:t>NDPI</w:t>
      </w:r>
      <w:r w:rsidR="00991731" w:rsidRPr="00563183">
        <w:rPr>
          <w:rFonts w:eastAsia="Calibri" w:cstheme="minorHAnsi"/>
          <w:sz w:val="24"/>
          <w:szCs w:val="24"/>
        </w:rPr>
        <w:t>.</w:t>
      </w:r>
    </w:p>
    <w:p w14:paraId="0AB27695" w14:textId="77777777" w:rsidR="00AF6130" w:rsidRPr="00A87F3C" w:rsidRDefault="00AF6130" w:rsidP="00A87F3C">
      <w:pPr>
        <w:tabs>
          <w:tab w:val="left" w:pos="540"/>
        </w:tabs>
        <w:ind w:right="180"/>
        <w:jc w:val="both"/>
        <w:rPr>
          <w:rFonts w:eastAsia="Calibri" w:cstheme="minorHAnsi"/>
          <w:sz w:val="24"/>
          <w:szCs w:val="24"/>
        </w:rPr>
      </w:pPr>
    </w:p>
    <w:p w14:paraId="2DDD2AE0" w14:textId="77777777" w:rsidR="00756140" w:rsidRDefault="00031258" w:rsidP="008F143B">
      <w:pPr>
        <w:pStyle w:val="ListParagraph"/>
        <w:numPr>
          <w:ilvl w:val="0"/>
          <w:numId w:val="13"/>
        </w:numPr>
        <w:tabs>
          <w:tab w:val="left" w:pos="540"/>
          <w:tab w:val="left" w:pos="630"/>
        </w:tabs>
        <w:ind w:left="630" w:right="180" w:hanging="270"/>
        <w:jc w:val="both"/>
        <w:rPr>
          <w:rFonts w:eastAsia="Calibri" w:cstheme="minorHAnsi"/>
          <w:sz w:val="24"/>
          <w:szCs w:val="24"/>
        </w:rPr>
      </w:pPr>
      <w:r>
        <w:rPr>
          <w:rFonts w:eastAsia="Calibri" w:cstheme="minorHAnsi"/>
          <w:sz w:val="24"/>
          <w:szCs w:val="24"/>
        </w:rPr>
        <w:t xml:space="preserve"> </w:t>
      </w:r>
      <w:r w:rsidR="00662345" w:rsidRPr="00563183">
        <w:rPr>
          <w:rFonts w:eastAsia="Calibri" w:cstheme="minorHAnsi"/>
          <w:sz w:val="24"/>
          <w:szCs w:val="24"/>
        </w:rPr>
        <w:t xml:space="preserve">Aaron </w:t>
      </w:r>
      <w:proofErr w:type="spellStart"/>
      <w:r w:rsidR="00662345" w:rsidRPr="00563183">
        <w:rPr>
          <w:rFonts w:eastAsia="Calibri" w:cstheme="minorHAnsi"/>
          <w:sz w:val="24"/>
          <w:szCs w:val="24"/>
        </w:rPr>
        <w:t>Mckea</w:t>
      </w:r>
      <w:r w:rsidR="00D14EDF" w:rsidRPr="00563183">
        <w:rPr>
          <w:rFonts w:eastAsia="Calibri" w:cstheme="minorHAnsi"/>
          <w:sz w:val="24"/>
          <w:szCs w:val="24"/>
        </w:rPr>
        <w:t>n</w:t>
      </w:r>
      <w:proofErr w:type="spellEnd"/>
      <w:r w:rsidR="00D14EDF" w:rsidRPr="00563183">
        <w:rPr>
          <w:rFonts w:eastAsia="Calibri" w:cstheme="minorHAnsi"/>
          <w:sz w:val="24"/>
          <w:szCs w:val="24"/>
        </w:rPr>
        <w:t xml:space="preserve"> </w:t>
      </w:r>
      <w:r w:rsidR="002230D9" w:rsidRPr="00563183">
        <w:rPr>
          <w:rFonts w:eastAsia="Calibri" w:cstheme="minorHAnsi"/>
          <w:sz w:val="24"/>
          <w:szCs w:val="24"/>
        </w:rPr>
        <w:t>M</w:t>
      </w:r>
      <w:r w:rsidR="00D14EDF" w:rsidRPr="00563183">
        <w:rPr>
          <w:rFonts w:eastAsia="Calibri" w:cstheme="minorHAnsi"/>
          <w:sz w:val="24"/>
          <w:szCs w:val="24"/>
        </w:rPr>
        <w:t>emo</w:t>
      </w:r>
      <w:r w:rsidR="002230D9" w:rsidRPr="00563183">
        <w:rPr>
          <w:rFonts w:eastAsia="Calibri" w:cstheme="minorHAnsi"/>
          <w:sz w:val="24"/>
          <w:szCs w:val="24"/>
        </w:rPr>
        <w:t>, November 12, 2021</w:t>
      </w:r>
    </w:p>
    <w:p w14:paraId="0538A83E" w14:textId="2F92CD5D" w:rsidR="00121D2D" w:rsidRPr="00563183" w:rsidRDefault="00121D2D" w:rsidP="00756140">
      <w:pPr>
        <w:pStyle w:val="ListParagraph"/>
        <w:tabs>
          <w:tab w:val="left" w:pos="540"/>
          <w:tab w:val="left" w:pos="630"/>
        </w:tabs>
        <w:ind w:left="630" w:right="180"/>
        <w:jc w:val="both"/>
        <w:rPr>
          <w:rFonts w:eastAsia="Calibri" w:cstheme="minorHAnsi"/>
          <w:sz w:val="24"/>
          <w:szCs w:val="24"/>
        </w:rPr>
      </w:pPr>
      <w:r w:rsidRPr="00563183">
        <w:rPr>
          <w:rFonts w:eastAsia="Calibri" w:cstheme="minorHAnsi"/>
          <w:sz w:val="24"/>
          <w:szCs w:val="24"/>
        </w:rPr>
        <w:t xml:space="preserve"> </w:t>
      </w:r>
    </w:p>
    <w:p w14:paraId="2D952845" w14:textId="134297CC" w:rsidR="0012591A" w:rsidRPr="00563183" w:rsidRDefault="00AE187A" w:rsidP="008F143B">
      <w:pPr>
        <w:pStyle w:val="ListParagraph"/>
        <w:tabs>
          <w:tab w:val="left" w:pos="540"/>
          <w:tab w:val="left" w:pos="630"/>
        </w:tabs>
        <w:ind w:left="630" w:right="180" w:hanging="270"/>
        <w:jc w:val="both"/>
        <w:rPr>
          <w:rFonts w:eastAsia="Calibri" w:cstheme="minorHAnsi"/>
          <w:sz w:val="24"/>
          <w:szCs w:val="24"/>
        </w:rPr>
      </w:pPr>
      <w:r>
        <w:rPr>
          <w:rFonts w:eastAsia="Calibri" w:cstheme="minorHAnsi"/>
          <w:sz w:val="24"/>
          <w:szCs w:val="24"/>
        </w:rPr>
        <w:t xml:space="preserve">     </w:t>
      </w:r>
      <w:r w:rsidR="000B20BF" w:rsidRPr="00563183">
        <w:rPr>
          <w:rFonts w:eastAsia="Calibri" w:cstheme="minorHAnsi"/>
          <w:sz w:val="24"/>
          <w:szCs w:val="24"/>
        </w:rPr>
        <w:t xml:space="preserve">Memo </w:t>
      </w:r>
      <w:r w:rsidR="00121D2D" w:rsidRPr="00563183">
        <w:rPr>
          <w:rFonts w:eastAsia="Calibri" w:cstheme="minorHAnsi"/>
          <w:sz w:val="24"/>
          <w:szCs w:val="24"/>
        </w:rPr>
        <w:t>concluded that Article XIV of the ND Constitution advances federal due process protections guaranteed by the 14</w:t>
      </w:r>
      <w:r w:rsidR="00121D2D" w:rsidRPr="00563183">
        <w:rPr>
          <w:rFonts w:eastAsia="Calibri" w:cstheme="minorHAnsi"/>
          <w:sz w:val="24"/>
          <w:szCs w:val="24"/>
          <w:vertAlign w:val="superscript"/>
        </w:rPr>
        <w:t>th</w:t>
      </w:r>
      <w:r w:rsidR="00121D2D" w:rsidRPr="00563183">
        <w:rPr>
          <w:rFonts w:eastAsia="Calibri" w:cstheme="minorHAnsi"/>
          <w:sz w:val="24"/>
          <w:szCs w:val="24"/>
        </w:rPr>
        <w:t xml:space="preserve"> Amendment of the US Constitution and does not conflict with any rights protected by the First Amendment. The Commission appreciated the comments made by Mr. </w:t>
      </w:r>
      <w:proofErr w:type="spellStart"/>
      <w:r w:rsidR="00121D2D" w:rsidRPr="00563183">
        <w:rPr>
          <w:rFonts w:eastAsia="Calibri" w:cstheme="minorHAnsi"/>
          <w:sz w:val="24"/>
          <w:szCs w:val="24"/>
        </w:rPr>
        <w:t>Mckean</w:t>
      </w:r>
      <w:proofErr w:type="spellEnd"/>
      <w:r w:rsidR="00BD49A6" w:rsidRPr="00563183">
        <w:rPr>
          <w:rFonts w:eastAsia="Calibri" w:cstheme="minorHAnsi"/>
          <w:sz w:val="24"/>
          <w:szCs w:val="24"/>
        </w:rPr>
        <w:t xml:space="preserve"> bringing the attention of the Caperton case to the Commission. </w:t>
      </w:r>
      <w:r w:rsidR="00B30E8F" w:rsidRPr="00563183">
        <w:rPr>
          <w:rFonts w:eastAsia="Calibri" w:cstheme="minorHAnsi"/>
          <w:sz w:val="24"/>
          <w:szCs w:val="24"/>
        </w:rPr>
        <w:t>The Commission discussed the Caperton case as it highlights the importance of due process and first amendment rights and will likely be a significant part of the</w:t>
      </w:r>
      <w:r w:rsidR="00B062C6" w:rsidRPr="00563183">
        <w:rPr>
          <w:rFonts w:eastAsia="Calibri" w:cstheme="minorHAnsi"/>
          <w:sz w:val="24"/>
          <w:szCs w:val="24"/>
        </w:rPr>
        <w:t xml:space="preserve"> future discussion</w:t>
      </w:r>
      <w:r w:rsidR="00B30E8F" w:rsidRPr="00563183">
        <w:rPr>
          <w:rFonts w:eastAsia="Calibri" w:cstheme="minorHAnsi"/>
          <w:sz w:val="24"/>
          <w:szCs w:val="24"/>
        </w:rPr>
        <w:t xml:space="preserve"> </w:t>
      </w:r>
      <w:r w:rsidR="00B062C6" w:rsidRPr="00563183">
        <w:rPr>
          <w:rFonts w:eastAsia="Calibri" w:cstheme="minorHAnsi"/>
          <w:sz w:val="24"/>
          <w:szCs w:val="24"/>
        </w:rPr>
        <w:t xml:space="preserve">of conflict </w:t>
      </w:r>
      <w:r w:rsidR="00B30E8F" w:rsidRPr="00563183">
        <w:rPr>
          <w:rFonts w:eastAsia="Calibri" w:cstheme="minorHAnsi"/>
          <w:sz w:val="24"/>
          <w:szCs w:val="24"/>
        </w:rPr>
        <w:t>rule changes by the Commission.</w:t>
      </w:r>
      <w:r w:rsidR="00B062C6" w:rsidRPr="00563183">
        <w:rPr>
          <w:rFonts w:eastAsia="Calibri" w:cstheme="minorHAnsi"/>
          <w:sz w:val="24"/>
          <w:szCs w:val="24"/>
        </w:rPr>
        <w:t xml:space="preserve"> Richard also </w:t>
      </w:r>
      <w:r w:rsidR="005E54BE" w:rsidRPr="00563183">
        <w:rPr>
          <w:rFonts w:eastAsia="Calibri" w:cstheme="minorHAnsi"/>
          <w:sz w:val="24"/>
          <w:szCs w:val="24"/>
        </w:rPr>
        <w:t>welcomed further public comments.</w:t>
      </w:r>
    </w:p>
    <w:p w14:paraId="6925F786" w14:textId="7095C145" w:rsidR="00B90635" w:rsidRPr="00563183" w:rsidRDefault="00B90635" w:rsidP="008F143B">
      <w:pPr>
        <w:pStyle w:val="ListParagraph"/>
        <w:tabs>
          <w:tab w:val="left" w:pos="540"/>
        </w:tabs>
        <w:ind w:left="630" w:right="180" w:hanging="270"/>
        <w:jc w:val="both"/>
        <w:rPr>
          <w:rFonts w:eastAsia="Calibri" w:cstheme="minorHAnsi"/>
          <w:sz w:val="24"/>
          <w:szCs w:val="24"/>
        </w:rPr>
      </w:pPr>
    </w:p>
    <w:p w14:paraId="7AECDD28" w14:textId="77777777" w:rsidR="00756140" w:rsidRDefault="00031258" w:rsidP="008F143B">
      <w:pPr>
        <w:pStyle w:val="ListParagraph"/>
        <w:numPr>
          <w:ilvl w:val="0"/>
          <w:numId w:val="13"/>
        </w:numPr>
        <w:tabs>
          <w:tab w:val="left" w:pos="540"/>
          <w:tab w:val="left" w:pos="1890"/>
        </w:tabs>
        <w:ind w:left="630" w:right="180" w:hanging="270"/>
        <w:jc w:val="both"/>
        <w:rPr>
          <w:rFonts w:eastAsia="Calibri" w:cstheme="minorHAnsi"/>
          <w:sz w:val="24"/>
          <w:szCs w:val="24"/>
        </w:rPr>
      </w:pPr>
      <w:r>
        <w:rPr>
          <w:rFonts w:eastAsia="Calibri" w:cstheme="minorHAnsi"/>
          <w:sz w:val="24"/>
          <w:szCs w:val="24"/>
        </w:rPr>
        <w:t xml:space="preserve"> </w:t>
      </w:r>
      <w:r w:rsidR="00B90635" w:rsidRPr="00563183">
        <w:rPr>
          <w:rFonts w:eastAsia="Calibri" w:cstheme="minorHAnsi"/>
          <w:sz w:val="24"/>
          <w:szCs w:val="24"/>
        </w:rPr>
        <w:t>Eric Murphy</w:t>
      </w:r>
      <w:r w:rsidR="002230D9" w:rsidRPr="00563183">
        <w:rPr>
          <w:rFonts w:eastAsia="Calibri" w:cstheme="minorHAnsi"/>
          <w:sz w:val="24"/>
          <w:szCs w:val="24"/>
        </w:rPr>
        <w:t>, November 29, 2021</w:t>
      </w:r>
    </w:p>
    <w:p w14:paraId="1960D522" w14:textId="18C28ECC" w:rsidR="002230D9" w:rsidRPr="00563183" w:rsidRDefault="002230D9" w:rsidP="00756140">
      <w:pPr>
        <w:pStyle w:val="ListParagraph"/>
        <w:tabs>
          <w:tab w:val="left" w:pos="540"/>
          <w:tab w:val="left" w:pos="1890"/>
        </w:tabs>
        <w:ind w:left="630" w:right="180"/>
        <w:jc w:val="both"/>
        <w:rPr>
          <w:rFonts w:eastAsia="Calibri" w:cstheme="minorHAnsi"/>
          <w:sz w:val="24"/>
          <w:szCs w:val="24"/>
        </w:rPr>
      </w:pPr>
      <w:r w:rsidRPr="00563183">
        <w:rPr>
          <w:rFonts w:eastAsia="Calibri" w:cstheme="minorHAnsi"/>
          <w:sz w:val="24"/>
          <w:szCs w:val="24"/>
        </w:rPr>
        <w:t xml:space="preserve"> </w:t>
      </w:r>
    </w:p>
    <w:p w14:paraId="5B680911" w14:textId="743CD129" w:rsidR="00B90635" w:rsidRPr="00563183" w:rsidRDefault="008F143B" w:rsidP="008F143B">
      <w:pPr>
        <w:pStyle w:val="ListParagraph"/>
        <w:tabs>
          <w:tab w:val="left" w:pos="540"/>
          <w:tab w:val="left" w:pos="1890"/>
        </w:tabs>
        <w:ind w:left="630" w:right="180" w:hanging="270"/>
        <w:jc w:val="both"/>
        <w:rPr>
          <w:rFonts w:eastAsia="Calibri" w:cstheme="minorHAnsi"/>
          <w:sz w:val="24"/>
          <w:szCs w:val="24"/>
        </w:rPr>
      </w:pPr>
      <w:r>
        <w:rPr>
          <w:rFonts w:eastAsia="Calibri" w:cstheme="minorHAnsi"/>
          <w:sz w:val="24"/>
          <w:szCs w:val="24"/>
        </w:rPr>
        <w:tab/>
        <w:t xml:space="preserve"> </w:t>
      </w:r>
      <w:r w:rsidR="00AE187A">
        <w:rPr>
          <w:rFonts w:eastAsia="Calibri" w:cstheme="minorHAnsi"/>
          <w:sz w:val="24"/>
          <w:szCs w:val="24"/>
        </w:rPr>
        <w:t xml:space="preserve"> </w:t>
      </w:r>
      <w:r w:rsidR="00031258">
        <w:rPr>
          <w:rFonts w:eastAsia="Calibri" w:cstheme="minorHAnsi"/>
          <w:sz w:val="24"/>
          <w:szCs w:val="24"/>
        </w:rPr>
        <w:t>C</w:t>
      </w:r>
      <w:r w:rsidR="00B90635" w:rsidRPr="00563183">
        <w:rPr>
          <w:rFonts w:eastAsia="Calibri" w:cstheme="minorHAnsi"/>
          <w:sz w:val="24"/>
          <w:szCs w:val="24"/>
        </w:rPr>
        <w:t xml:space="preserve">omments were </w:t>
      </w:r>
      <w:r w:rsidR="00BA4D62">
        <w:rPr>
          <w:rFonts w:eastAsia="Calibri" w:cstheme="minorHAnsi"/>
          <w:sz w:val="24"/>
          <w:szCs w:val="24"/>
        </w:rPr>
        <w:t xml:space="preserve">that </w:t>
      </w:r>
      <w:r w:rsidR="00B90635" w:rsidRPr="00563183">
        <w:rPr>
          <w:rFonts w:eastAsia="Calibri" w:cstheme="minorHAnsi"/>
          <w:sz w:val="24"/>
          <w:szCs w:val="24"/>
        </w:rPr>
        <w:t>conflict</w:t>
      </w:r>
      <w:r w:rsidR="00BA4D62">
        <w:rPr>
          <w:rFonts w:eastAsia="Calibri" w:cstheme="minorHAnsi"/>
          <w:sz w:val="24"/>
          <w:szCs w:val="24"/>
        </w:rPr>
        <w:t xml:space="preserve"> of interest </w:t>
      </w:r>
      <w:r w:rsidR="004F34AA" w:rsidRPr="00563183">
        <w:rPr>
          <w:rFonts w:eastAsia="Calibri" w:cstheme="minorHAnsi"/>
          <w:sz w:val="24"/>
          <w:szCs w:val="24"/>
        </w:rPr>
        <w:t>is all a normal part of the role of a legislator and the issue is with the ability of individual</w:t>
      </w:r>
      <w:r w:rsidR="00AB15B7" w:rsidRPr="00563183">
        <w:rPr>
          <w:rFonts w:eastAsia="Calibri" w:cstheme="minorHAnsi"/>
          <w:sz w:val="24"/>
          <w:szCs w:val="24"/>
        </w:rPr>
        <w:t>s</w:t>
      </w:r>
      <w:r w:rsidR="004F34AA" w:rsidRPr="00563183">
        <w:rPr>
          <w:rFonts w:eastAsia="Calibri" w:cstheme="minorHAnsi"/>
          <w:sz w:val="24"/>
          <w:szCs w:val="24"/>
        </w:rPr>
        <w:t xml:space="preserve"> in government to properly manage those conflicts. The Commission’s comments were that this will be addressed in the separation of quasi-judicial and executive as the rule is revised.</w:t>
      </w:r>
    </w:p>
    <w:p w14:paraId="4F632973" w14:textId="6BED3872" w:rsidR="00B81D69" w:rsidRDefault="00B81D69" w:rsidP="008F143B">
      <w:pPr>
        <w:pStyle w:val="ListParagraph"/>
        <w:tabs>
          <w:tab w:val="left" w:pos="540"/>
        </w:tabs>
        <w:ind w:left="1800" w:right="180" w:hanging="270"/>
        <w:jc w:val="both"/>
        <w:rPr>
          <w:rFonts w:eastAsia="Calibri" w:cstheme="minorHAnsi"/>
          <w:sz w:val="24"/>
          <w:szCs w:val="24"/>
        </w:rPr>
      </w:pPr>
    </w:p>
    <w:p w14:paraId="069B636E" w14:textId="124229BD" w:rsidR="00756140" w:rsidRDefault="00756140" w:rsidP="008F143B">
      <w:pPr>
        <w:pStyle w:val="ListParagraph"/>
        <w:tabs>
          <w:tab w:val="left" w:pos="540"/>
        </w:tabs>
        <w:ind w:left="1800" w:right="180" w:hanging="270"/>
        <w:jc w:val="both"/>
        <w:rPr>
          <w:rFonts w:eastAsia="Calibri" w:cstheme="minorHAnsi"/>
          <w:sz w:val="24"/>
          <w:szCs w:val="24"/>
        </w:rPr>
      </w:pPr>
    </w:p>
    <w:p w14:paraId="0F47E2AC" w14:textId="77777777" w:rsidR="00756140" w:rsidRPr="00563183" w:rsidRDefault="00756140" w:rsidP="008F143B">
      <w:pPr>
        <w:pStyle w:val="ListParagraph"/>
        <w:tabs>
          <w:tab w:val="left" w:pos="540"/>
        </w:tabs>
        <w:ind w:left="1800" w:right="180" w:hanging="270"/>
        <w:jc w:val="both"/>
        <w:rPr>
          <w:rFonts w:eastAsia="Calibri" w:cstheme="minorHAnsi"/>
          <w:sz w:val="24"/>
          <w:szCs w:val="24"/>
        </w:rPr>
      </w:pPr>
    </w:p>
    <w:p w14:paraId="0BF1A0DA" w14:textId="53CF9E00" w:rsidR="00B81D69" w:rsidRDefault="00B81D69" w:rsidP="008F143B">
      <w:pPr>
        <w:pStyle w:val="ListParagraph"/>
        <w:numPr>
          <w:ilvl w:val="0"/>
          <w:numId w:val="13"/>
        </w:numPr>
        <w:tabs>
          <w:tab w:val="left" w:pos="540"/>
        </w:tabs>
        <w:ind w:left="540" w:right="180" w:hanging="270"/>
        <w:jc w:val="both"/>
        <w:rPr>
          <w:rFonts w:eastAsia="Calibri" w:cstheme="minorHAnsi"/>
          <w:sz w:val="24"/>
          <w:szCs w:val="24"/>
        </w:rPr>
      </w:pPr>
      <w:r w:rsidRPr="00563183">
        <w:rPr>
          <w:rFonts w:eastAsia="Calibri" w:cstheme="minorHAnsi"/>
          <w:sz w:val="24"/>
          <w:szCs w:val="24"/>
        </w:rPr>
        <w:lastRenderedPageBreak/>
        <w:t>Sara Vogel and Gregory Stites</w:t>
      </w:r>
      <w:r w:rsidR="00BE0AF6" w:rsidRPr="00563183">
        <w:rPr>
          <w:rFonts w:eastAsia="Calibri" w:cstheme="minorHAnsi"/>
          <w:sz w:val="24"/>
          <w:szCs w:val="24"/>
        </w:rPr>
        <w:t>, December 6, 2021</w:t>
      </w:r>
    </w:p>
    <w:p w14:paraId="5EED44B5" w14:textId="77777777" w:rsidR="00756140" w:rsidRPr="00563183" w:rsidRDefault="00756140" w:rsidP="00756140">
      <w:pPr>
        <w:pStyle w:val="ListParagraph"/>
        <w:tabs>
          <w:tab w:val="left" w:pos="540"/>
        </w:tabs>
        <w:ind w:left="540" w:right="180"/>
        <w:jc w:val="both"/>
        <w:rPr>
          <w:rFonts w:eastAsia="Calibri" w:cstheme="minorHAnsi"/>
          <w:sz w:val="24"/>
          <w:szCs w:val="24"/>
        </w:rPr>
      </w:pPr>
    </w:p>
    <w:p w14:paraId="0D7E271E" w14:textId="00A51B3C" w:rsidR="00BE0AF6" w:rsidRPr="00563183" w:rsidRDefault="00031258" w:rsidP="008F143B">
      <w:pPr>
        <w:pStyle w:val="ListParagraph"/>
        <w:tabs>
          <w:tab w:val="left" w:pos="540"/>
        </w:tabs>
        <w:ind w:left="540" w:right="180" w:hanging="270"/>
        <w:jc w:val="both"/>
        <w:rPr>
          <w:rFonts w:eastAsia="Calibri" w:cstheme="minorHAnsi"/>
          <w:sz w:val="24"/>
          <w:szCs w:val="24"/>
        </w:rPr>
      </w:pPr>
      <w:r>
        <w:rPr>
          <w:rFonts w:eastAsia="Calibri" w:cstheme="minorHAnsi"/>
          <w:sz w:val="24"/>
          <w:szCs w:val="24"/>
        </w:rPr>
        <w:tab/>
      </w:r>
      <w:r w:rsidR="006427E7" w:rsidRPr="00563183">
        <w:rPr>
          <w:rFonts w:eastAsia="Calibri" w:cstheme="minorHAnsi"/>
          <w:sz w:val="24"/>
          <w:szCs w:val="24"/>
        </w:rPr>
        <w:t>C</w:t>
      </w:r>
      <w:r w:rsidR="000812EB" w:rsidRPr="00563183">
        <w:rPr>
          <w:rFonts w:eastAsia="Calibri" w:cstheme="minorHAnsi"/>
          <w:sz w:val="24"/>
          <w:szCs w:val="24"/>
        </w:rPr>
        <w:t xml:space="preserve">omments cited three different Supreme Court cases including the </w:t>
      </w:r>
      <w:r w:rsidR="000812EB" w:rsidRPr="00563183">
        <w:rPr>
          <w:rFonts w:eastAsia="Calibri" w:cstheme="minorHAnsi"/>
          <w:sz w:val="24"/>
          <w:szCs w:val="24"/>
          <w:u w:val="single"/>
        </w:rPr>
        <w:t>Nevada Commi</w:t>
      </w:r>
      <w:r w:rsidR="00017A5D" w:rsidRPr="00563183">
        <w:rPr>
          <w:rFonts w:eastAsia="Calibri" w:cstheme="minorHAnsi"/>
          <w:sz w:val="24"/>
          <w:szCs w:val="24"/>
          <w:u w:val="single"/>
        </w:rPr>
        <w:t>ssion on Ethics v. Carrigan</w:t>
      </w:r>
      <w:r w:rsidR="00017A5D" w:rsidRPr="00563183">
        <w:rPr>
          <w:rFonts w:eastAsia="Calibri" w:cstheme="minorHAnsi"/>
          <w:sz w:val="24"/>
          <w:szCs w:val="24"/>
        </w:rPr>
        <w:t xml:space="preserve"> as not supporting the exclusion of campaign contributions in the Ethics Commission current draft of the conflict rules. Thiele commented that these cases would be reviewed as the Commission works through Caperton</w:t>
      </w:r>
      <w:r w:rsidR="00AB15B7" w:rsidRPr="00563183">
        <w:rPr>
          <w:rFonts w:eastAsia="Calibri" w:cstheme="minorHAnsi"/>
          <w:sz w:val="24"/>
          <w:szCs w:val="24"/>
        </w:rPr>
        <w:t xml:space="preserve"> criteria</w:t>
      </w:r>
      <w:r w:rsidR="00017A5D" w:rsidRPr="00563183">
        <w:rPr>
          <w:rFonts w:eastAsia="Calibri" w:cstheme="minorHAnsi"/>
          <w:sz w:val="24"/>
          <w:szCs w:val="24"/>
        </w:rPr>
        <w:t xml:space="preserve"> and revised draft conflict rule.</w:t>
      </w:r>
    </w:p>
    <w:p w14:paraId="078B8A85" w14:textId="0F4DC345" w:rsidR="00017A5D" w:rsidRPr="00563183" w:rsidRDefault="00017A5D" w:rsidP="008F143B">
      <w:pPr>
        <w:pStyle w:val="ListParagraph"/>
        <w:tabs>
          <w:tab w:val="left" w:pos="540"/>
        </w:tabs>
        <w:ind w:left="540" w:right="180" w:hanging="270"/>
        <w:jc w:val="both"/>
        <w:rPr>
          <w:rFonts w:eastAsia="Calibri" w:cstheme="minorHAnsi"/>
          <w:sz w:val="24"/>
          <w:szCs w:val="24"/>
        </w:rPr>
      </w:pPr>
    </w:p>
    <w:p w14:paraId="3548F553" w14:textId="4F71C45F" w:rsidR="00017A5D" w:rsidRDefault="00017A5D" w:rsidP="008F143B">
      <w:pPr>
        <w:pStyle w:val="ListParagraph"/>
        <w:numPr>
          <w:ilvl w:val="0"/>
          <w:numId w:val="13"/>
        </w:numPr>
        <w:tabs>
          <w:tab w:val="left" w:pos="540"/>
        </w:tabs>
        <w:ind w:left="540" w:right="180" w:hanging="270"/>
        <w:jc w:val="both"/>
        <w:rPr>
          <w:rFonts w:eastAsia="Calibri" w:cstheme="minorHAnsi"/>
          <w:sz w:val="24"/>
          <w:szCs w:val="24"/>
        </w:rPr>
      </w:pPr>
      <w:r w:rsidRPr="00563183">
        <w:rPr>
          <w:rFonts w:eastAsia="Calibri" w:cstheme="minorHAnsi"/>
          <w:sz w:val="24"/>
          <w:szCs w:val="24"/>
        </w:rPr>
        <w:t>NDPI</w:t>
      </w:r>
      <w:r w:rsidR="003369C0" w:rsidRPr="00563183">
        <w:rPr>
          <w:rFonts w:eastAsia="Calibri" w:cstheme="minorHAnsi"/>
          <w:sz w:val="24"/>
          <w:szCs w:val="24"/>
        </w:rPr>
        <w:t xml:space="preserve"> -</w:t>
      </w:r>
      <w:r w:rsidRPr="00563183">
        <w:rPr>
          <w:rFonts w:eastAsia="Calibri" w:cstheme="minorHAnsi"/>
          <w:sz w:val="24"/>
          <w:szCs w:val="24"/>
        </w:rPr>
        <w:t xml:space="preserve"> </w:t>
      </w:r>
      <w:r w:rsidR="00621761" w:rsidRPr="00563183">
        <w:rPr>
          <w:rFonts w:eastAsia="Calibri" w:cstheme="minorHAnsi"/>
          <w:sz w:val="24"/>
          <w:szCs w:val="24"/>
        </w:rPr>
        <w:t>Legal Analysis by Greg Stites, December 7, 2021</w:t>
      </w:r>
    </w:p>
    <w:p w14:paraId="5A874A93" w14:textId="77777777" w:rsidR="00756140" w:rsidRPr="00563183" w:rsidRDefault="00756140" w:rsidP="00756140">
      <w:pPr>
        <w:pStyle w:val="ListParagraph"/>
        <w:tabs>
          <w:tab w:val="left" w:pos="540"/>
        </w:tabs>
        <w:ind w:left="540" w:right="180"/>
        <w:jc w:val="both"/>
        <w:rPr>
          <w:rFonts w:eastAsia="Calibri" w:cstheme="minorHAnsi"/>
          <w:sz w:val="24"/>
          <w:szCs w:val="24"/>
        </w:rPr>
      </w:pPr>
    </w:p>
    <w:p w14:paraId="387321EB" w14:textId="04A43070" w:rsidR="00621761" w:rsidRPr="00563183" w:rsidRDefault="00127E68" w:rsidP="008F143B">
      <w:pPr>
        <w:pStyle w:val="ListParagraph"/>
        <w:tabs>
          <w:tab w:val="left" w:pos="540"/>
        </w:tabs>
        <w:ind w:left="540" w:right="180" w:hanging="270"/>
        <w:jc w:val="both"/>
        <w:rPr>
          <w:rFonts w:eastAsia="Calibri" w:cstheme="minorHAnsi"/>
          <w:sz w:val="24"/>
          <w:szCs w:val="24"/>
        </w:rPr>
      </w:pPr>
      <w:r>
        <w:rPr>
          <w:rFonts w:eastAsia="Calibri" w:cstheme="minorHAnsi"/>
          <w:sz w:val="24"/>
          <w:szCs w:val="24"/>
        </w:rPr>
        <w:tab/>
      </w:r>
      <w:r w:rsidR="00CC7562" w:rsidRPr="00563183">
        <w:rPr>
          <w:rFonts w:eastAsia="Calibri" w:cstheme="minorHAnsi"/>
          <w:sz w:val="24"/>
          <w:szCs w:val="24"/>
        </w:rPr>
        <w:t>This was a legal analysis based on the AG Letter Opinion 2020-L-09 that the rules of the Ethics Commission</w:t>
      </w:r>
      <w:r w:rsidR="003369C0" w:rsidRPr="00563183">
        <w:rPr>
          <w:rFonts w:eastAsia="Calibri" w:cstheme="minorHAnsi"/>
          <w:sz w:val="24"/>
          <w:szCs w:val="24"/>
        </w:rPr>
        <w:t xml:space="preserve"> in its domain supersede statutes enacted by the Legislature and has the authority to establish the process for recusal. Thiele </w:t>
      </w:r>
      <w:r w:rsidR="00025CB2" w:rsidRPr="00563183">
        <w:rPr>
          <w:rFonts w:eastAsia="Calibri" w:cstheme="minorHAnsi"/>
          <w:sz w:val="24"/>
          <w:szCs w:val="24"/>
        </w:rPr>
        <w:t xml:space="preserve">agreed that the Commission has broad authority however each entity would be better served </w:t>
      </w:r>
      <w:r w:rsidR="00BA4D62">
        <w:rPr>
          <w:rFonts w:eastAsia="Calibri" w:cstheme="minorHAnsi"/>
          <w:sz w:val="24"/>
          <w:szCs w:val="24"/>
        </w:rPr>
        <w:t xml:space="preserve">by </w:t>
      </w:r>
      <w:r w:rsidR="00025CB2" w:rsidRPr="00563183">
        <w:rPr>
          <w:rFonts w:eastAsia="Calibri" w:cstheme="minorHAnsi"/>
          <w:sz w:val="24"/>
          <w:szCs w:val="24"/>
        </w:rPr>
        <w:t xml:space="preserve">establishing their own process for recusal. Commissioner Koeser voiced concern on recusal of an elected official </w:t>
      </w:r>
      <w:r w:rsidR="00455D86" w:rsidRPr="00563183">
        <w:rPr>
          <w:rFonts w:eastAsia="Calibri" w:cstheme="minorHAnsi"/>
          <w:sz w:val="24"/>
          <w:szCs w:val="24"/>
        </w:rPr>
        <w:t>voted in by public</w:t>
      </w:r>
      <w:r w:rsidR="00AB15B7" w:rsidRPr="00563183">
        <w:rPr>
          <w:rFonts w:eastAsia="Calibri" w:cstheme="minorHAnsi"/>
          <w:sz w:val="24"/>
          <w:szCs w:val="24"/>
        </w:rPr>
        <w:t xml:space="preserve"> vote</w:t>
      </w:r>
      <w:r w:rsidR="00455D86" w:rsidRPr="00563183">
        <w:rPr>
          <w:rFonts w:eastAsia="Calibri" w:cstheme="minorHAnsi"/>
          <w:sz w:val="24"/>
          <w:szCs w:val="24"/>
        </w:rPr>
        <w:t xml:space="preserve">. Commissioner Richard commented that as an elected official they are aware of conflicts that may arise in accepting campaign donations. He also stated that the judicial campaigns may be an area worth looking at as in the judicial system they are not allowed to </w:t>
      </w:r>
      <w:r w:rsidR="00AB15B7" w:rsidRPr="00563183">
        <w:rPr>
          <w:rFonts w:eastAsia="Calibri" w:cstheme="minorHAnsi"/>
          <w:sz w:val="24"/>
          <w:szCs w:val="24"/>
        </w:rPr>
        <w:t>participate in</w:t>
      </w:r>
      <w:r w:rsidR="00455D86" w:rsidRPr="00563183">
        <w:rPr>
          <w:rFonts w:eastAsia="Calibri" w:cstheme="minorHAnsi"/>
          <w:sz w:val="24"/>
          <w:szCs w:val="24"/>
        </w:rPr>
        <w:t xml:space="preserve"> campaign committees in their election.</w:t>
      </w:r>
    </w:p>
    <w:p w14:paraId="4291F4EC" w14:textId="77777777" w:rsidR="00B81D69" w:rsidRPr="00207B4F" w:rsidRDefault="00B81D69" w:rsidP="00207B4F">
      <w:pPr>
        <w:tabs>
          <w:tab w:val="left" w:pos="540"/>
        </w:tabs>
        <w:ind w:right="180"/>
        <w:jc w:val="both"/>
        <w:rPr>
          <w:rFonts w:eastAsia="Calibri" w:cstheme="minorHAnsi"/>
          <w:sz w:val="24"/>
          <w:szCs w:val="24"/>
        </w:rPr>
      </w:pPr>
    </w:p>
    <w:p w14:paraId="68821C8D" w14:textId="340CF706" w:rsidR="00796BB8" w:rsidRPr="00563183" w:rsidRDefault="00427686" w:rsidP="00427686">
      <w:pPr>
        <w:pStyle w:val="ListParagraph"/>
        <w:tabs>
          <w:tab w:val="left" w:pos="540"/>
        </w:tabs>
        <w:ind w:left="360" w:right="180" w:hanging="360"/>
        <w:jc w:val="both"/>
        <w:rPr>
          <w:rFonts w:eastAsia="Calibri" w:cstheme="minorHAnsi"/>
          <w:sz w:val="24"/>
          <w:szCs w:val="24"/>
        </w:rPr>
      </w:pPr>
      <w:r>
        <w:rPr>
          <w:rFonts w:eastAsia="Calibri" w:cstheme="minorHAnsi"/>
          <w:sz w:val="24"/>
          <w:szCs w:val="24"/>
        </w:rPr>
        <w:tab/>
      </w:r>
      <w:r w:rsidR="009E39C9" w:rsidRPr="00563183">
        <w:rPr>
          <w:rFonts w:eastAsia="Calibri" w:cstheme="minorHAnsi"/>
          <w:sz w:val="24"/>
          <w:szCs w:val="24"/>
        </w:rPr>
        <w:t>The Commission did not go over in detail the nonspecific comments. Thiele stated that in general they expressed their displeasure with the</w:t>
      </w:r>
      <w:r w:rsidR="006A66A2" w:rsidRPr="00563183">
        <w:rPr>
          <w:rFonts w:eastAsia="Calibri" w:cstheme="minorHAnsi"/>
          <w:sz w:val="24"/>
          <w:szCs w:val="24"/>
        </w:rPr>
        <w:t xml:space="preserve"> direction of the</w:t>
      </w:r>
      <w:r w:rsidR="009E39C9" w:rsidRPr="00563183">
        <w:rPr>
          <w:rFonts w:eastAsia="Calibri" w:cstheme="minorHAnsi"/>
          <w:sz w:val="24"/>
          <w:szCs w:val="24"/>
        </w:rPr>
        <w:t xml:space="preserve"> Commission’s draft rules. Commissioner Richard stated that he appreciated all comments and reiterated the need to seek comments and feedback earlier in the rule drafting process.</w:t>
      </w:r>
    </w:p>
    <w:p w14:paraId="794B5D29" w14:textId="36868010" w:rsidR="004A719C" w:rsidRDefault="004A719C" w:rsidP="00427686">
      <w:pPr>
        <w:pStyle w:val="ListParagraph"/>
        <w:tabs>
          <w:tab w:val="left" w:pos="540"/>
        </w:tabs>
        <w:ind w:left="360" w:right="180" w:hanging="360"/>
        <w:jc w:val="both"/>
        <w:rPr>
          <w:rFonts w:eastAsia="Calibri" w:cstheme="minorHAnsi"/>
          <w:sz w:val="24"/>
          <w:szCs w:val="24"/>
        </w:rPr>
      </w:pPr>
    </w:p>
    <w:p w14:paraId="60EBC63E" w14:textId="77777777" w:rsidR="00207B4F" w:rsidRPr="00563183" w:rsidRDefault="00207B4F" w:rsidP="004A719C">
      <w:pPr>
        <w:pStyle w:val="ListParagraph"/>
        <w:tabs>
          <w:tab w:val="left" w:pos="540"/>
        </w:tabs>
        <w:ind w:left="360" w:right="180"/>
        <w:jc w:val="both"/>
        <w:rPr>
          <w:rFonts w:eastAsia="Calibri" w:cstheme="minorHAnsi"/>
          <w:sz w:val="24"/>
          <w:szCs w:val="24"/>
        </w:rPr>
      </w:pPr>
    </w:p>
    <w:p w14:paraId="4DC4362A" w14:textId="7A008B50" w:rsidR="00FE7DDC" w:rsidRPr="00563183" w:rsidRDefault="00695B55" w:rsidP="002D2EEB">
      <w:pPr>
        <w:pStyle w:val="ListParagraph"/>
        <w:numPr>
          <w:ilvl w:val="0"/>
          <w:numId w:val="1"/>
        </w:numPr>
        <w:tabs>
          <w:tab w:val="left" w:pos="540"/>
        </w:tabs>
        <w:ind w:right="180"/>
        <w:jc w:val="both"/>
        <w:rPr>
          <w:rFonts w:eastAsia="Calibri" w:cstheme="minorHAnsi"/>
          <w:sz w:val="24"/>
          <w:szCs w:val="24"/>
        </w:rPr>
      </w:pPr>
      <w:r w:rsidRPr="00563183">
        <w:rPr>
          <w:rFonts w:eastAsia="Calibri" w:cstheme="minorHAnsi"/>
          <w:sz w:val="24"/>
          <w:szCs w:val="24"/>
          <w:u w:val="single"/>
        </w:rPr>
        <w:t>Due Outs Before Next Meeting</w:t>
      </w:r>
      <w:r w:rsidR="002D2EEB" w:rsidRPr="00563183">
        <w:rPr>
          <w:rFonts w:eastAsia="Calibri" w:cstheme="minorHAnsi"/>
          <w:sz w:val="24"/>
          <w:szCs w:val="24"/>
          <w:u w:val="single"/>
        </w:rPr>
        <w:t>:</w:t>
      </w:r>
      <w:r w:rsidR="002D2EEB" w:rsidRPr="00563183">
        <w:rPr>
          <w:rFonts w:eastAsia="Calibri" w:cstheme="minorHAnsi"/>
          <w:sz w:val="24"/>
          <w:szCs w:val="24"/>
        </w:rPr>
        <w:t xml:space="preserve"> </w:t>
      </w:r>
      <w:r w:rsidR="00796BB8" w:rsidRPr="00563183">
        <w:rPr>
          <w:rFonts w:eastAsia="Calibri" w:cstheme="minorHAnsi"/>
          <w:sz w:val="24"/>
          <w:szCs w:val="24"/>
        </w:rPr>
        <w:t>Thiele recommended that the Commission place the conflict rule on hold un</w:t>
      </w:r>
      <w:r w:rsidR="004A719C" w:rsidRPr="00563183">
        <w:rPr>
          <w:rFonts w:eastAsia="Calibri" w:cstheme="minorHAnsi"/>
          <w:sz w:val="24"/>
          <w:szCs w:val="24"/>
        </w:rPr>
        <w:t>til</w:t>
      </w:r>
      <w:r w:rsidR="00796BB8" w:rsidRPr="00563183">
        <w:rPr>
          <w:rFonts w:eastAsia="Calibri" w:cstheme="minorHAnsi"/>
          <w:sz w:val="24"/>
          <w:szCs w:val="24"/>
        </w:rPr>
        <w:t xml:space="preserve"> the issuance of an Attorney General’s Opinion. He also recommended that </w:t>
      </w:r>
      <w:r w:rsidR="004A719C" w:rsidRPr="00563183">
        <w:rPr>
          <w:rFonts w:eastAsia="Calibri" w:cstheme="minorHAnsi"/>
          <w:sz w:val="24"/>
          <w:szCs w:val="24"/>
        </w:rPr>
        <w:t>Hicks</w:t>
      </w:r>
      <w:r w:rsidR="00796BB8" w:rsidRPr="00563183">
        <w:rPr>
          <w:rFonts w:eastAsia="Calibri" w:cstheme="minorHAnsi"/>
          <w:sz w:val="24"/>
          <w:szCs w:val="24"/>
        </w:rPr>
        <w:t xml:space="preserve">, </w:t>
      </w:r>
      <w:proofErr w:type="gramStart"/>
      <w:r w:rsidR="00796BB8" w:rsidRPr="00563183">
        <w:rPr>
          <w:rFonts w:eastAsia="Calibri" w:cstheme="minorHAnsi"/>
          <w:sz w:val="24"/>
          <w:szCs w:val="24"/>
        </w:rPr>
        <w:t>Richard</w:t>
      </w:r>
      <w:proofErr w:type="gramEnd"/>
      <w:r w:rsidR="00796BB8" w:rsidRPr="00563183">
        <w:rPr>
          <w:rFonts w:eastAsia="Calibri" w:cstheme="minorHAnsi"/>
          <w:sz w:val="24"/>
          <w:szCs w:val="24"/>
        </w:rPr>
        <w:t xml:space="preserve"> and Thiele would work on the separation of quasi</w:t>
      </w:r>
      <w:r w:rsidR="002D2EEB" w:rsidRPr="00563183">
        <w:rPr>
          <w:rFonts w:eastAsia="Calibri" w:cstheme="minorHAnsi"/>
          <w:sz w:val="24"/>
          <w:szCs w:val="24"/>
        </w:rPr>
        <w:t>-</w:t>
      </w:r>
      <w:r w:rsidR="00796BB8" w:rsidRPr="00563183">
        <w:rPr>
          <w:rFonts w:eastAsia="Calibri" w:cstheme="minorHAnsi"/>
          <w:sz w:val="24"/>
          <w:szCs w:val="24"/>
        </w:rPr>
        <w:t>judicial and executive for the rule as a draft work</w:t>
      </w:r>
      <w:r w:rsidR="00FE7DDC" w:rsidRPr="00563183">
        <w:rPr>
          <w:rFonts w:eastAsia="Calibri" w:cstheme="minorHAnsi"/>
          <w:sz w:val="24"/>
          <w:szCs w:val="24"/>
        </w:rPr>
        <w:t xml:space="preserve"> with a potential deadline of January 5th</w:t>
      </w:r>
      <w:r w:rsidR="00796BB8" w:rsidRPr="00563183">
        <w:rPr>
          <w:rFonts w:eastAsia="Calibri" w:cstheme="minorHAnsi"/>
          <w:sz w:val="24"/>
          <w:szCs w:val="24"/>
        </w:rPr>
        <w:t xml:space="preserve">. </w:t>
      </w:r>
      <w:r w:rsidR="002D2EEB" w:rsidRPr="00563183">
        <w:rPr>
          <w:rFonts w:eastAsia="Calibri" w:cstheme="minorHAnsi"/>
          <w:sz w:val="24"/>
          <w:szCs w:val="24"/>
        </w:rPr>
        <w:t>Hicks would</w:t>
      </w:r>
      <w:r w:rsidR="00796BB8" w:rsidRPr="00563183">
        <w:rPr>
          <w:rFonts w:eastAsia="Calibri" w:cstheme="minorHAnsi"/>
          <w:sz w:val="24"/>
          <w:szCs w:val="24"/>
        </w:rPr>
        <w:t xml:space="preserve"> provide an analysis of the Caperton case</w:t>
      </w:r>
      <w:r w:rsidR="00FE7DDC" w:rsidRPr="00563183">
        <w:rPr>
          <w:rFonts w:eastAsia="Calibri" w:cstheme="minorHAnsi"/>
          <w:sz w:val="24"/>
          <w:szCs w:val="24"/>
        </w:rPr>
        <w:t>. Commissioner Richard also suggested an earlier special meeting in January. Vice Chair Lindquist called for a motion to continue discussion of the conflict rule at the next meeting of the</w:t>
      </w:r>
      <w:r w:rsidR="008D1880" w:rsidRPr="00563183">
        <w:rPr>
          <w:rFonts w:eastAsia="Calibri" w:cstheme="minorHAnsi"/>
          <w:sz w:val="24"/>
          <w:szCs w:val="24"/>
        </w:rPr>
        <w:t xml:space="preserve"> ND</w:t>
      </w:r>
      <w:r w:rsidR="00FE7DDC" w:rsidRPr="00563183">
        <w:rPr>
          <w:rFonts w:eastAsia="Calibri" w:cstheme="minorHAnsi"/>
          <w:sz w:val="24"/>
          <w:szCs w:val="24"/>
        </w:rPr>
        <w:t xml:space="preserve"> Ethics Commi</w:t>
      </w:r>
      <w:r w:rsidR="008D1880" w:rsidRPr="00563183">
        <w:rPr>
          <w:rFonts w:eastAsia="Calibri" w:cstheme="minorHAnsi"/>
          <w:sz w:val="24"/>
          <w:szCs w:val="24"/>
        </w:rPr>
        <w:t>ssion.</w:t>
      </w:r>
      <w:r w:rsidR="00796BB8" w:rsidRPr="00563183">
        <w:rPr>
          <w:rFonts w:eastAsia="Calibri" w:cstheme="minorHAnsi"/>
          <w:sz w:val="24"/>
          <w:szCs w:val="24"/>
        </w:rPr>
        <w:t xml:space="preserve">  </w:t>
      </w:r>
    </w:p>
    <w:p w14:paraId="071BB9BE" w14:textId="77777777" w:rsidR="002D2EEB" w:rsidRPr="00563183" w:rsidRDefault="002D2EEB" w:rsidP="002D2EEB">
      <w:pPr>
        <w:tabs>
          <w:tab w:val="left" w:pos="540"/>
        </w:tabs>
        <w:ind w:right="180"/>
        <w:jc w:val="both"/>
        <w:rPr>
          <w:rFonts w:eastAsia="Calibri" w:cstheme="minorHAnsi"/>
          <w:sz w:val="24"/>
          <w:szCs w:val="24"/>
        </w:rPr>
      </w:pPr>
    </w:p>
    <w:p w14:paraId="30B93837" w14:textId="22808081" w:rsidR="00FE7DDC" w:rsidRPr="00563183" w:rsidRDefault="00FE7DDC" w:rsidP="008D1880">
      <w:pPr>
        <w:pStyle w:val="ListParagraph"/>
        <w:tabs>
          <w:tab w:val="left" w:pos="270"/>
          <w:tab w:val="left" w:pos="450"/>
        </w:tabs>
        <w:ind w:left="1170" w:right="900"/>
        <w:jc w:val="both"/>
        <w:rPr>
          <w:rFonts w:cstheme="minorHAnsi"/>
          <w:sz w:val="24"/>
          <w:szCs w:val="24"/>
        </w:rPr>
      </w:pPr>
      <w:r w:rsidRPr="00563183">
        <w:rPr>
          <w:rFonts w:eastAsia="Calibri" w:cstheme="minorHAnsi"/>
          <w:b/>
          <w:sz w:val="24"/>
          <w:szCs w:val="24"/>
          <w:u w:val="single"/>
        </w:rPr>
        <w:t>Motion:</w:t>
      </w:r>
      <w:r w:rsidRPr="00563183">
        <w:rPr>
          <w:rFonts w:eastAsia="Calibri" w:cstheme="minorHAnsi"/>
          <w:sz w:val="24"/>
          <w:szCs w:val="24"/>
        </w:rPr>
        <w:t xml:space="preserve">  Commissioner </w:t>
      </w:r>
      <w:r w:rsidR="008D1880" w:rsidRPr="00563183">
        <w:rPr>
          <w:rFonts w:eastAsia="Calibri" w:cstheme="minorHAnsi"/>
          <w:sz w:val="24"/>
          <w:szCs w:val="24"/>
        </w:rPr>
        <w:t>Ward Koeser</w:t>
      </w:r>
      <w:r w:rsidRPr="00563183">
        <w:rPr>
          <w:rFonts w:eastAsia="Calibri" w:cstheme="minorHAnsi"/>
          <w:sz w:val="24"/>
          <w:szCs w:val="24"/>
        </w:rPr>
        <w:t xml:space="preserve"> made a motion to </w:t>
      </w:r>
      <w:r w:rsidR="008D1880" w:rsidRPr="00563183">
        <w:rPr>
          <w:rFonts w:eastAsia="Calibri" w:cstheme="minorHAnsi"/>
          <w:sz w:val="24"/>
          <w:szCs w:val="24"/>
        </w:rPr>
        <w:t>discuss the draft conflict</w:t>
      </w:r>
      <w:r w:rsidR="00AB15B7" w:rsidRPr="00563183">
        <w:rPr>
          <w:rFonts w:eastAsia="Calibri" w:cstheme="minorHAnsi"/>
          <w:sz w:val="24"/>
          <w:szCs w:val="24"/>
        </w:rPr>
        <w:t xml:space="preserve"> </w:t>
      </w:r>
      <w:r w:rsidR="008D1880" w:rsidRPr="00563183">
        <w:rPr>
          <w:rFonts w:eastAsia="Calibri" w:cstheme="minorHAnsi"/>
          <w:sz w:val="24"/>
          <w:szCs w:val="24"/>
        </w:rPr>
        <w:t>of</w:t>
      </w:r>
      <w:r w:rsidR="00AB15B7" w:rsidRPr="00563183">
        <w:rPr>
          <w:rFonts w:eastAsia="Calibri" w:cstheme="minorHAnsi"/>
          <w:sz w:val="24"/>
          <w:szCs w:val="24"/>
        </w:rPr>
        <w:t xml:space="preserve"> </w:t>
      </w:r>
      <w:r w:rsidR="008D1880" w:rsidRPr="00563183">
        <w:rPr>
          <w:rFonts w:eastAsia="Calibri" w:cstheme="minorHAnsi"/>
          <w:sz w:val="24"/>
          <w:szCs w:val="24"/>
        </w:rPr>
        <w:t>interest rule at the next ND Ethics Commission meeting</w:t>
      </w:r>
      <w:r w:rsidRPr="00563183">
        <w:rPr>
          <w:rFonts w:eastAsia="Calibri" w:cstheme="minorHAnsi"/>
          <w:sz w:val="24"/>
          <w:szCs w:val="24"/>
        </w:rPr>
        <w:t>.</w:t>
      </w:r>
      <w:r w:rsidRPr="00563183">
        <w:rPr>
          <w:rFonts w:cstheme="minorHAnsi"/>
          <w:sz w:val="24"/>
          <w:szCs w:val="24"/>
        </w:rPr>
        <w:t xml:space="preserve"> This motion was seconded by Commissioner Dave Anderson. Vice Chair Lindquist called for a roll call vote. The motion was passed unanimously.</w:t>
      </w:r>
    </w:p>
    <w:p w14:paraId="2625A104" w14:textId="77777777" w:rsidR="00FE7DDC" w:rsidRPr="00563183" w:rsidRDefault="00FE7DDC" w:rsidP="00FE7DDC">
      <w:pPr>
        <w:tabs>
          <w:tab w:val="left" w:pos="540"/>
        </w:tabs>
        <w:ind w:right="180"/>
        <w:jc w:val="both"/>
        <w:rPr>
          <w:rFonts w:eastAsia="Calibri" w:cstheme="minorHAnsi"/>
          <w:sz w:val="24"/>
          <w:szCs w:val="24"/>
        </w:rPr>
      </w:pPr>
    </w:p>
    <w:p w14:paraId="1867C47B" w14:textId="121B54B4" w:rsidR="00960B7F" w:rsidRPr="00563183" w:rsidRDefault="009D1F3F" w:rsidP="00695B55">
      <w:pPr>
        <w:pStyle w:val="ListParagraph"/>
        <w:numPr>
          <w:ilvl w:val="0"/>
          <w:numId w:val="1"/>
        </w:numPr>
        <w:tabs>
          <w:tab w:val="left" w:pos="540"/>
        </w:tabs>
        <w:ind w:right="180"/>
        <w:jc w:val="both"/>
        <w:rPr>
          <w:rFonts w:eastAsia="Calibri" w:cstheme="minorHAnsi"/>
          <w:sz w:val="24"/>
          <w:szCs w:val="24"/>
        </w:rPr>
      </w:pPr>
      <w:r w:rsidRPr="00563183">
        <w:rPr>
          <w:rFonts w:eastAsia="Calibri" w:cstheme="minorHAnsi"/>
          <w:sz w:val="24"/>
          <w:szCs w:val="24"/>
          <w:u w:val="single"/>
        </w:rPr>
        <w:t>Further Business</w:t>
      </w:r>
      <w:r w:rsidR="002D2EEB" w:rsidRPr="00563183">
        <w:rPr>
          <w:rFonts w:eastAsia="Calibri" w:cstheme="minorHAnsi"/>
          <w:sz w:val="24"/>
          <w:szCs w:val="24"/>
          <w:u w:val="single"/>
        </w:rPr>
        <w:t>:</w:t>
      </w:r>
      <w:r w:rsidRPr="00563183">
        <w:rPr>
          <w:rFonts w:eastAsia="Calibri" w:cstheme="minorHAnsi"/>
          <w:sz w:val="24"/>
          <w:szCs w:val="24"/>
        </w:rPr>
        <w:t xml:space="preserve"> The Commission discussed the on-line COGEL Conference held in early December. Next year’s conference is scheduled to take place in Montreal</w:t>
      </w:r>
      <w:r w:rsidR="008D1880" w:rsidRPr="00563183">
        <w:rPr>
          <w:rFonts w:eastAsia="Calibri" w:cstheme="minorHAnsi"/>
          <w:sz w:val="24"/>
          <w:szCs w:val="24"/>
        </w:rPr>
        <w:t>, Canada.</w:t>
      </w:r>
    </w:p>
    <w:p w14:paraId="045C468D" w14:textId="77777777" w:rsidR="00A27D1C" w:rsidRPr="00563183" w:rsidRDefault="00A27D1C" w:rsidP="00DD01DA">
      <w:pPr>
        <w:jc w:val="both"/>
        <w:rPr>
          <w:rFonts w:eastAsia="Calibri" w:cstheme="minorHAnsi"/>
          <w:sz w:val="24"/>
          <w:szCs w:val="24"/>
        </w:rPr>
      </w:pPr>
    </w:p>
    <w:p w14:paraId="65B541B6" w14:textId="328D99A2" w:rsidR="00C41E09" w:rsidRDefault="002D2EEB" w:rsidP="00207B4F">
      <w:pPr>
        <w:pStyle w:val="ListParagraph"/>
        <w:numPr>
          <w:ilvl w:val="0"/>
          <w:numId w:val="1"/>
        </w:numPr>
        <w:jc w:val="both"/>
        <w:rPr>
          <w:rFonts w:cstheme="minorHAnsi"/>
          <w:sz w:val="24"/>
          <w:szCs w:val="24"/>
        </w:rPr>
      </w:pPr>
      <w:r w:rsidRPr="00563183">
        <w:rPr>
          <w:rFonts w:cstheme="minorHAnsi"/>
          <w:sz w:val="24"/>
          <w:szCs w:val="24"/>
          <w:u w:val="single"/>
        </w:rPr>
        <w:t>Adjourn:</w:t>
      </w:r>
      <w:r w:rsidRPr="00563183">
        <w:rPr>
          <w:rFonts w:cstheme="minorHAnsi"/>
          <w:sz w:val="24"/>
          <w:szCs w:val="24"/>
        </w:rPr>
        <w:t xml:space="preserve"> </w:t>
      </w:r>
      <w:r w:rsidR="0064610D" w:rsidRPr="00563183">
        <w:rPr>
          <w:rFonts w:cstheme="minorHAnsi"/>
          <w:sz w:val="24"/>
          <w:szCs w:val="24"/>
        </w:rPr>
        <w:t xml:space="preserve">Commission, having no further business, </w:t>
      </w:r>
      <w:r w:rsidR="000E37A6" w:rsidRPr="00563183">
        <w:rPr>
          <w:rFonts w:cstheme="minorHAnsi"/>
          <w:sz w:val="24"/>
          <w:szCs w:val="24"/>
        </w:rPr>
        <w:t xml:space="preserve">was </w:t>
      </w:r>
      <w:r w:rsidR="0064610D" w:rsidRPr="00563183">
        <w:rPr>
          <w:rFonts w:cstheme="minorHAnsi"/>
          <w:sz w:val="24"/>
          <w:szCs w:val="24"/>
        </w:rPr>
        <w:t>adjourned</w:t>
      </w:r>
      <w:r w:rsidR="00153658" w:rsidRPr="00563183">
        <w:rPr>
          <w:rFonts w:cstheme="minorHAnsi"/>
          <w:sz w:val="24"/>
          <w:szCs w:val="24"/>
        </w:rPr>
        <w:t xml:space="preserve"> </w:t>
      </w:r>
      <w:r w:rsidR="0064610D" w:rsidRPr="00563183">
        <w:rPr>
          <w:rFonts w:cstheme="minorHAnsi"/>
          <w:sz w:val="24"/>
          <w:szCs w:val="24"/>
        </w:rPr>
        <w:t xml:space="preserve">at </w:t>
      </w:r>
      <w:r w:rsidR="008D1880" w:rsidRPr="00563183">
        <w:rPr>
          <w:rFonts w:cstheme="minorHAnsi"/>
          <w:sz w:val="24"/>
          <w:szCs w:val="24"/>
        </w:rPr>
        <w:t>11:34</w:t>
      </w:r>
      <w:r w:rsidR="00E93357" w:rsidRPr="00563183">
        <w:rPr>
          <w:rFonts w:cstheme="minorHAnsi"/>
          <w:sz w:val="24"/>
          <w:szCs w:val="24"/>
        </w:rPr>
        <w:t xml:space="preserve"> a.m</w:t>
      </w:r>
      <w:r w:rsidR="0064610D" w:rsidRPr="00563183">
        <w:rPr>
          <w:rFonts w:cstheme="minorHAnsi"/>
          <w:sz w:val="24"/>
          <w:szCs w:val="24"/>
        </w:rPr>
        <w:t xml:space="preserve">. The next meeting </w:t>
      </w:r>
      <w:r w:rsidR="00E031DC" w:rsidRPr="00563183">
        <w:rPr>
          <w:rFonts w:cstheme="minorHAnsi"/>
          <w:sz w:val="24"/>
          <w:szCs w:val="24"/>
        </w:rPr>
        <w:t xml:space="preserve">is scheduled for </w:t>
      </w:r>
      <w:r w:rsidR="008F6F6B" w:rsidRPr="00563183">
        <w:rPr>
          <w:rFonts w:cstheme="minorHAnsi"/>
          <w:sz w:val="24"/>
          <w:szCs w:val="24"/>
        </w:rPr>
        <w:t>January 26</w:t>
      </w:r>
      <w:r w:rsidR="00615320" w:rsidRPr="00563183">
        <w:rPr>
          <w:rFonts w:cstheme="minorHAnsi"/>
          <w:sz w:val="24"/>
          <w:szCs w:val="24"/>
        </w:rPr>
        <w:t>, 202</w:t>
      </w:r>
      <w:r w:rsidR="008F6F6B" w:rsidRPr="00563183">
        <w:rPr>
          <w:rFonts w:cstheme="minorHAnsi"/>
          <w:sz w:val="24"/>
          <w:szCs w:val="24"/>
        </w:rPr>
        <w:t>2</w:t>
      </w:r>
      <w:r w:rsidR="00AB15B7" w:rsidRPr="00563183">
        <w:rPr>
          <w:rFonts w:cstheme="minorHAnsi"/>
          <w:sz w:val="24"/>
          <w:szCs w:val="24"/>
        </w:rPr>
        <w:t>,</w:t>
      </w:r>
      <w:r w:rsidR="0064610D" w:rsidRPr="00563183">
        <w:rPr>
          <w:rFonts w:cstheme="minorHAnsi"/>
          <w:sz w:val="24"/>
          <w:szCs w:val="24"/>
        </w:rPr>
        <w:t xml:space="preserve"> at 9:00 a.m. by MS Teams.</w:t>
      </w:r>
    </w:p>
    <w:p w14:paraId="5CC835FF" w14:textId="77777777" w:rsidR="00207B4F" w:rsidRPr="00207B4F" w:rsidRDefault="00207B4F" w:rsidP="00207B4F">
      <w:pPr>
        <w:pStyle w:val="ListParagraph"/>
        <w:rPr>
          <w:rFonts w:cstheme="minorHAnsi"/>
          <w:sz w:val="24"/>
          <w:szCs w:val="24"/>
        </w:rPr>
      </w:pPr>
    </w:p>
    <w:p w14:paraId="7D4BB769" w14:textId="77777777" w:rsidR="00207B4F" w:rsidRPr="00207B4F" w:rsidRDefault="00207B4F" w:rsidP="00207B4F">
      <w:pPr>
        <w:pStyle w:val="ListParagraph"/>
        <w:ind w:left="360"/>
        <w:jc w:val="both"/>
        <w:rPr>
          <w:rFonts w:cstheme="minorHAnsi"/>
          <w:sz w:val="24"/>
          <w:szCs w:val="24"/>
        </w:rPr>
      </w:pPr>
    </w:p>
    <w:p w14:paraId="5668D506" w14:textId="01FD9EA0" w:rsidR="00835633" w:rsidRPr="00563183" w:rsidRDefault="00835633" w:rsidP="00E45462">
      <w:pPr>
        <w:ind w:left="360" w:firstLine="360"/>
        <w:jc w:val="both"/>
        <w:rPr>
          <w:rFonts w:cstheme="minorHAnsi"/>
          <w:sz w:val="24"/>
          <w:szCs w:val="24"/>
        </w:rPr>
      </w:pPr>
      <w:r w:rsidRPr="00563183">
        <w:rPr>
          <w:rFonts w:cstheme="minorHAnsi"/>
          <w:sz w:val="24"/>
          <w:szCs w:val="24"/>
        </w:rPr>
        <w:t>Approved on ____________</w:t>
      </w:r>
    </w:p>
    <w:p w14:paraId="24D70F10" w14:textId="42ACFF76" w:rsidR="00835633" w:rsidRPr="00563183" w:rsidRDefault="00835633" w:rsidP="00913255">
      <w:pPr>
        <w:ind w:left="360" w:firstLine="360"/>
        <w:jc w:val="both"/>
        <w:rPr>
          <w:rFonts w:cstheme="minorHAnsi"/>
          <w:sz w:val="24"/>
          <w:szCs w:val="24"/>
        </w:rPr>
      </w:pPr>
      <w:r w:rsidRPr="00563183">
        <w:rPr>
          <w:rFonts w:cstheme="minorHAnsi"/>
          <w:sz w:val="24"/>
          <w:szCs w:val="24"/>
        </w:rPr>
        <w:t>Dave Thiele, Executive Director, North Dakota Ethics Commission</w:t>
      </w:r>
    </w:p>
    <w:p w14:paraId="0006E1D4" w14:textId="77777777" w:rsidR="0064610D" w:rsidRPr="00563183" w:rsidRDefault="0064610D" w:rsidP="008837E8">
      <w:pPr>
        <w:pStyle w:val="ListParagraph"/>
        <w:ind w:left="360"/>
        <w:jc w:val="both"/>
        <w:rPr>
          <w:rFonts w:eastAsia="Calibri" w:cstheme="minorHAnsi"/>
          <w:sz w:val="24"/>
          <w:szCs w:val="24"/>
        </w:rPr>
      </w:pPr>
    </w:p>
    <w:sectPr w:rsidR="0064610D" w:rsidRPr="00563183" w:rsidSect="00207B4F">
      <w:headerReference w:type="default" r:id="rId9"/>
      <w:footerReference w:type="default" r:id="rId10"/>
      <w:headerReference w:type="first" r:id="rId11"/>
      <w:pgSz w:w="12240" w:h="15840"/>
      <w:pgMar w:top="1440" w:right="1267"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4608F" w14:textId="77777777" w:rsidR="00E82163" w:rsidRDefault="00E82163" w:rsidP="004502D2">
      <w:pPr>
        <w:spacing w:after="0" w:line="240" w:lineRule="auto"/>
      </w:pPr>
      <w:r>
        <w:separator/>
      </w:r>
    </w:p>
  </w:endnote>
  <w:endnote w:type="continuationSeparator" w:id="0">
    <w:p w14:paraId="46EB1DAC" w14:textId="77777777" w:rsidR="00E82163" w:rsidRDefault="00E82163" w:rsidP="00450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383582"/>
      <w:docPartObj>
        <w:docPartGallery w:val="Page Numbers (Bottom of Page)"/>
        <w:docPartUnique/>
      </w:docPartObj>
    </w:sdtPr>
    <w:sdtEndPr>
      <w:rPr>
        <w:color w:val="7F7F7F" w:themeColor="background1" w:themeShade="7F"/>
        <w:spacing w:val="60"/>
      </w:rPr>
    </w:sdtEndPr>
    <w:sdtContent>
      <w:p w14:paraId="1484BE3F" w14:textId="1C7B26C0" w:rsidR="00207B4F" w:rsidRDefault="00207B4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E8FCD28" w14:textId="77777777" w:rsidR="00207B4F" w:rsidRDefault="00207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23D58" w14:textId="77777777" w:rsidR="00E82163" w:rsidRDefault="00E82163" w:rsidP="004502D2">
      <w:pPr>
        <w:spacing w:after="0" w:line="240" w:lineRule="auto"/>
      </w:pPr>
      <w:r>
        <w:separator/>
      </w:r>
    </w:p>
  </w:footnote>
  <w:footnote w:type="continuationSeparator" w:id="0">
    <w:p w14:paraId="08274A63" w14:textId="77777777" w:rsidR="00E82163" w:rsidRDefault="00E82163" w:rsidP="00450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8771" w14:textId="77777777" w:rsidR="004502D2" w:rsidRDefault="004502D2">
    <w:pPr>
      <w:pStyle w:val="Header"/>
    </w:pPr>
  </w:p>
  <w:p w14:paraId="2A5DAAAE" w14:textId="77777777" w:rsidR="004502D2" w:rsidRDefault="004502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3BF05" w14:textId="77777777" w:rsidR="004502D2" w:rsidRDefault="004502D2">
    <w:pPr>
      <w:pStyle w:val="Header"/>
    </w:pPr>
    <w:r>
      <w:rPr>
        <w:noProof/>
      </w:rPr>
      <w:drawing>
        <wp:inline distT="0" distB="0" distL="0" distR="0" wp14:anchorId="5B1E9048" wp14:editId="3E91F857">
          <wp:extent cx="2438400" cy="590019"/>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38400" cy="5900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5E03"/>
    <w:multiLevelType w:val="hybridMultilevel"/>
    <w:tmpl w:val="DAE65B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310AA"/>
    <w:multiLevelType w:val="hybridMultilevel"/>
    <w:tmpl w:val="3808117C"/>
    <w:lvl w:ilvl="0" w:tplc="04090001">
      <w:start w:val="1"/>
      <w:numFmt w:val="bullet"/>
      <w:lvlText w:val=""/>
      <w:lvlJc w:val="left"/>
      <w:pPr>
        <w:ind w:left="1255" w:hanging="360"/>
      </w:pPr>
      <w:rPr>
        <w:rFonts w:ascii="Symbol" w:hAnsi="Symbol" w:hint="default"/>
      </w:rPr>
    </w:lvl>
    <w:lvl w:ilvl="1" w:tplc="04090003" w:tentative="1">
      <w:start w:val="1"/>
      <w:numFmt w:val="bullet"/>
      <w:lvlText w:val="o"/>
      <w:lvlJc w:val="left"/>
      <w:pPr>
        <w:ind w:left="1975" w:hanging="360"/>
      </w:pPr>
      <w:rPr>
        <w:rFonts w:ascii="Courier New" w:hAnsi="Courier New" w:cs="Courier New" w:hint="default"/>
      </w:rPr>
    </w:lvl>
    <w:lvl w:ilvl="2" w:tplc="04090005" w:tentative="1">
      <w:start w:val="1"/>
      <w:numFmt w:val="bullet"/>
      <w:lvlText w:val=""/>
      <w:lvlJc w:val="left"/>
      <w:pPr>
        <w:ind w:left="2695" w:hanging="360"/>
      </w:pPr>
      <w:rPr>
        <w:rFonts w:ascii="Wingdings" w:hAnsi="Wingdings" w:hint="default"/>
      </w:rPr>
    </w:lvl>
    <w:lvl w:ilvl="3" w:tplc="04090001" w:tentative="1">
      <w:start w:val="1"/>
      <w:numFmt w:val="bullet"/>
      <w:lvlText w:val=""/>
      <w:lvlJc w:val="left"/>
      <w:pPr>
        <w:ind w:left="3415" w:hanging="360"/>
      </w:pPr>
      <w:rPr>
        <w:rFonts w:ascii="Symbol" w:hAnsi="Symbol" w:hint="default"/>
      </w:rPr>
    </w:lvl>
    <w:lvl w:ilvl="4" w:tplc="04090003" w:tentative="1">
      <w:start w:val="1"/>
      <w:numFmt w:val="bullet"/>
      <w:lvlText w:val="o"/>
      <w:lvlJc w:val="left"/>
      <w:pPr>
        <w:ind w:left="4135" w:hanging="360"/>
      </w:pPr>
      <w:rPr>
        <w:rFonts w:ascii="Courier New" w:hAnsi="Courier New" w:cs="Courier New" w:hint="default"/>
      </w:rPr>
    </w:lvl>
    <w:lvl w:ilvl="5" w:tplc="04090005" w:tentative="1">
      <w:start w:val="1"/>
      <w:numFmt w:val="bullet"/>
      <w:lvlText w:val=""/>
      <w:lvlJc w:val="left"/>
      <w:pPr>
        <w:ind w:left="4855" w:hanging="360"/>
      </w:pPr>
      <w:rPr>
        <w:rFonts w:ascii="Wingdings" w:hAnsi="Wingdings" w:hint="default"/>
      </w:rPr>
    </w:lvl>
    <w:lvl w:ilvl="6" w:tplc="04090001" w:tentative="1">
      <w:start w:val="1"/>
      <w:numFmt w:val="bullet"/>
      <w:lvlText w:val=""/>
      <w:lvlJc w:val="left"/>
      <w:pPr>
        <w:ind w:left="5575" w:hanging="360"/>
      </w:pPr>
      <w:rPr>
        <w:rFonts w:ascii="Symbol" w:hAnsi="Symbol" w:hint="default"/>
      </w:rPr>
    </w:lvl>
    <w:lvl w:ilvl="7" w:tplc="04090003" w:tentative="1">
      <w:start w:val="1"/>
      <w:numFmt w:val="bullet"/>
      <w:lvlText w:val="o"/>
      <w:lvlJc w:val="left"/>
      <w:pPr>
        <w:ind w:left="6295" w:hanging="360"/>
      </w:pPr>
      <w:rPr>
        <w:rFonts w:ascii="Courier New" w:hAnsi="Courier New" w:cs="Courier New" w:hint="default"/>
      </w:rPr>
    </w:lvl>
    <w:lvl w:ilvl="8" w:tplc="04090005" w:tentative="1">
      <w:start w:val="1"/>
      <w:numFmt w:val="bullet"/>
      <w:lvlText w:val=""/>
      <w:lvlJc w:val="left"/>
      <w:pPr>
        <w:ind w:left="7015" w:hanging="360"/>
      </w:pPr>
      <w:rPr>
        <w:rFonts w:ascii="Wingdings" w:hAnsi="Wingdings" w:hint="default"/>
      </w:rPr>
    </w:lvl>
  </w:abstractNum>
  <w:abstractNum w:abstractNumId="2" w15:restartNumberingAfterBreak="0">
    <w:nsid w:val="184543A9"/>
    <w:multiLevelType w:val="hybridMultilevel"/>
    <w:tmpl w:val="FEACB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43243E"/>
    <w:multiLevelType w:val="hybridMultilevel"/>
    <w:tmpl w:val="24B8056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20230FA2"/>
    <w:multiLevelType w:val="hybridMultilevel"/>
    <w:tmpl w:val="DDF21C50"/>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092CD7"/>
    <w:multiLevelType w:val="hybridMultilevel"/>
    <w:tmpl w:val="B3BEF62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A3FF5"/>
    <w:multiLevelType w:val="hybridMultilevel"/>
    <w:tmpl w:val="BBB6C44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3008D5"/>
    <w:multiLevelType w:val="hybridMultilevel"/>
    <w:tmpl w:val="FC3627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7527B00"/>
    <w:multiLevelType w:val="hybridMultilevel"/>
    <w:tmpl w:val="EF30A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3B5AEC"/>
    <w:multiLevelType w:val="hybridMultilevel"/>
    <w:tmpl w:val="79005580"/>
    <w:lvl w:ilvl="0" w:tplc="E2405F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CE739D0"/>
    <w:multiLevelType w:val="hybridMultilevel"/>
    <w:tmpl w:val="906E3968"/>
    <w:lvl w:ilvl="0" w:tplc="8CB0D49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EA34F7"/>
    <w:multiLevelType w:val="hybridMultilevel"/>
    <w:tmpl w:val="40521E7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447879CC"/>
    <w:multiLevelType w:val="hybridMultilevel"/>
    <w:tmpl w:val="4F0E23F6"/>
    <w:lvl w:ilvl="0" w:tplc="A7387CC0">
      <w:start w:val="1"/>
      <w:numFmt w:val="decimal"/>
      <w:lvlText w:val="%1."/>
      <w:lvlJc w:val="left"/>
      <w:pPr>
        <w:ind w:left="1255" w:hanging="360"/>
      </w:pPr>
      <w:rPr>
        <w:rFonts w:hint="default"/>
      </w:rPr>
    </w:lvl>
    <w:lvl w:ilvl="1" w:tplc="04090019" w:tentative="1">
      <w:start w:val="1"/>
      <w:numFmt w:val="lowerLetter"/>
      <w:lvlText w:val="%2."/>
      <w:lvlJc w:val="left"/>
      <w:pPr>
        <w:ind w:left="1975" w:hanging="360"/>
      </w:pPr>
    </w:lvl>
    <w:lvl w:ilvl="2" w:tplc="0409001B" w:tentative="1">
      <w:start w:val="1"/>
      <w:numFmt w:val="lowerRoman"/>
      <w:lvlText w:val="%3."/>
      <w:lvlJc w:val="right"/>
      <w:pPr>
        <w:ind w:left="2695" w:hanging="180"/>
      </w:pPr>
    </w:lvl>
    <w:lvl w:ilvl="3" w:tplc="0409000F" w:tentative="1">
      <w:start w:val="1"/>
      <w:numFmt w:val="decimal"/>
      <w:lvlText w:val="%4."/>
      <w:lvlJc w:val="left"/>
      <w:pPr>
        <w:ind w:left="3415" w:hanging="360"/>
      </w:pPr>
    </w:lvl>
    <w:lvl w:ilvl="4" w:tplc="04090019" w:tentative="1">
      <w:start w:val="1"/>
      <w:numFmt w:val="lowerLetter"/>
      <w:lvlText w:val="%5."/>
      <w:lvlJc w:val="left"/>
      <w:pPr>
        <w:ind w:left="4135" w:hanging="360"/>
      </w:pPr>
    </w:lvl>
    <w:lvl w:ilvl="5" w:tplc="0409001B" w:tentative="1">
      <w:start w:val="1"/>
      <w:numFmt w:val="lowerRoman"/>
      <w:lvlText w:val="%6."/>
      <w:lvlJc w:val="right"/>
      <w:pPr>
        <w:ind w:left="4855" w:hanging="180"/>
      </w:pPr>
    </w:lvl>
    <w:lvl w:ilvl="6" w:tplc="0409000F" w:tentative="1">
      <w:start w:val="1"/>
      <w:numFmt w:val="decimal"/>
      <w:lvlText w:val="%7."/>
      <w:lvlJc w:val="left"/>
      <w:pPr>
        <w:ind w:left="5575" w:hanging="360"/>
      </w:pPr>
    </w:lvl>
    <w:lvl w:ilvl="7" w:tplc="04090019" w:tentative="1">
      <w:start w:val="1"/>
      <w:numFmt w:val="lowerLetter"/>
      <w:lvlText w:val="%8."/>
      <w:lvlJc w:val="left"/>
      <w:pPr>
        <w:ind w:left="6295" w:hanging="360"/>
      </w:pPr>
    </w:lvl>
    <w:lvl w:ilvl="8" w:tplc="0409001B" w:tentative="1">
      <w:start w:val="1"/>
      <w:numFmt w:val="lowerRoman"/>
      <w:lvlText w:val="%9."/>
      <w:lvlJc w:val="right"/>
      <w:pPr>
        <w:ind w:left="7015" w:hanging="180"/>
      </w:pPr>
    </w:lvl>
  </w:abstractNum>
  <w:abstractNum w:abstractNumId="13" w15:restartNumberingAfterBreak="0">
    <w:nsid w:val="46AC6817"/>
    <w:multiLevelType w:val="hybridMultilevel"/>
    <w:tmpl w:val="5546B2E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461886"/>
    <w:multiLevelType w:val="hybridMultilevel"/>
    <w:tmpl w:val="1D7EBF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E46AD1"/>
    <w:multiLevelType w:val="hybridMultilevel"/>
    <w:tmpl w:val="9018655C"/>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5309F0"/>
    <w:multiLevelType w:val="hybridMultilevel"/>
    <w:tmpl w:val="8444B40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5D45C92"/>
    <w:multiLevelType w:val="hybridMultilevel"/>
    <w:tmpl w:val="50C06A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9FE3E74"/>
    <w:multiLevelType w:val="hybridMultilevel"/>
    <w:tmpl w:val="CFCAEE30"/>
    <w:lvl w:ilvl="0" w:tplc="86445B1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DC06009"/>
    <w:multiLevelType w:val="hybridMultilevel"/>
    <w:tmpl w:val="F1226FE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8D270B"/>
    <w:multiLevelType w:val="hybridMultilevel"/>
    <w:tmpl w:val="9F0C2FFC"/>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17"/>
  </w:num>
  <w:num w:numId="3">
    <w:abstractNumId w:val="0"/>
  </w:num>
  <w:num w:numId="4">
    <w:abstractNumId w:val="14"/>
  </w:num>
  <w:num w:numId="5">
    <w:abstractNumId w:val="7"/>
  </w:num>
  <w:num w:numId="6">
    <w:abstractNumId w:val="15"/>
  </w:num>
  <w:num w:numId="7">
    <w:abstractNumId w:val="6"/>
  </w:num>
  <w:num w:numId="8">
    <w:abstractNumId w:val="5"/>
  </w:num>
  <w:num w:numId="9">
    <w:abstractNumId w:val="4"/>
  </w:num>
  <w:num w:numId="10">
    <w:abstractNumId w:val="10"/>
  </w:num>
  <w:num w:numId="11">
    <w:abstractNumId w:val="13"/>
  </w:num>
  <w:num w:numId="12">
    <w:abstractNumId w:val="19"/>
  </w:num>
  <w:num w:numId="13">
    <w:abstractNumId w:val="16"/>
  </w:num>
  <w:num w:numId="14">
    <w:abstractNumId w:val="2"/>
  </w:num>
  <w:num w:numId="15">
    <w:abstractNumId w:val="8"/>
  </w:num>
  <w:num w:numId="16">
    <w:abstractNumId w:val="1"/>
  </w:num>
  <w:num w:numId="17">
    <w:abstractNumId w:val="3"/>
  </w:num>
  <w:num w:numId="18">
    <w:abstractNumId w:val="11"/>
  </w:num>
  <w:num w:numId="19">
    <w:abstractNumId w:val="9"/>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D2"/>
    <w:rsid w:val="00001683"/>
    <w:rsid w:val="00015B04"/>
    <w:rsid w:val="00016422"/>
    <w:rsid w:val="000170D0"/>
    <w:rsid w:val="00017A5D"/>
    <w:rsid w:val="00025CB2"/>
    <w:rsid w:val="00031258"/>
    <w:rsid w:val="00033CA1"/>
    <w:rsid w:val="00035E28"/>
    <w:rsid w:val="00044516"/>
    <w:rsid w:val="00044682"/>
    <w:rsid w:val="000477E7"/>
    <w:rsid w:val="0005086E"/>
    <w:rsid w:val="00050907"/>
    <w:rsid w:val="00056ED0"/>
    <w:rsid w:val="00077EC1"/>
    <w:rsid w:val="000812EB"/>
    <w:rsid w:val="000842CD"/>
    <w:rsid w:val="00085EA3"/>
    <w:rsid w:val="00085FC6"/>
    <w:rsid w:val="00086E18"/>
    <w:rsid w:val="00087E18"/>
    <w:rsid w:val="00096904"/>
    <w:rsid w:val="000A11A2"/>
    <w:rsid w:val="000B1D32"/>
    <w:rsid w:val="000B20BF"/>
    <w:rsid w:val="000C2735"/>
    <w:rsid w:val="000C3ABA"/>
    <w:rsid w:val="000C45BE"/>
    <w:rsid w:val="000C7922"/>
    <w:rsid w:val="000D282C"/>
    <w:rsid w:val="000E1C01"/>
    <w:rsid w:val="000E25A2"/>
    <w:rsid w:val="000E37A6"/>
    <w:rsid w:val="000E46AC"/>
    <w:rsid w:val="000E51CA"/>
    <w:rsid w:val="000F62F5"/>
    <w:rsid w:val="000F76E8"/>
    <w:rsid w:val="001042D1"/>
    <w:rsid w:val="00106675"/>
    <w:rsid w:val="00116FB3"/>
    <w:rsid w:val="00117613"/>
    <w:rsid w:val="00121D2D"/>
    <w:rsid w:val="0012541D"/>
    <w:rsid w:val="0012591A"/>
    <w:rsid w:val="00125B33"/>
    <w:rsid w:val="00127D81"/>
    <w:rsid w:val="00127E68"/>
    <w:rsid w:val="00133B7C"/>
    <w:rsid w:val="001343BB"/>
    <w:rsid w:val="00137B5D"/>
    <w:rsid w:val="0014758D"/>
    <w:rsid w:val="00153658"/>
    <w:rsid w:val="00154B14"/>
    <w:rsid w:val="00155705"/>
    <w:rsid w:val="00162E6A"/>
    <w:rsid w:val="00162F59"/>
    <w:rsid w:val="0016726A"/>
    <w:rsid w:val="00167E60"/>
    <w:rsid w:val="00173C9C"/>
    <w:rsid w:val="00176635"/>
    <w:rsid w:val="00183263"/>
    <w:rsid w:val="00184406"/>
    <w:rsid w:val="00195375"/>
    <w:rsid w:val="001960E1"/>
    <w:rsid w:val="00196845"/>
    <w:rsid w:val="001A22FE"/>
    <w:rsid w:val="001A695B"/>
    <w:rsid w:val="001B5866"/>
    <w:rsid w:val="001B6885"/>
    <w:rsid w:val="001B72F2"/>
    <w:rsid w:val="001C517F"/>
    <w:rsid w:val="001D447A"/>
    <w:rsid w:val="001E5F31"/>
    <w:rsid w:val="001F163D"/>
    <w:rsid w:val="001F4C24"/>
    <w:rsid w:val="00200462"/>
    <w:rsid w:val="002017ED"/>
    <w:rsid w:val="00201C4D"/>
    <w:rsid w:val="00205DE3"/>
    <w:rsid w:val="0020636A"/>
    <w:rsid w:val="00207B4F"/>
    <w:rsid w:val="00210ACE"/>
    <w:rsid w:val="00211D73"/>
    <w:rsid w:val="00220D17"/>
    <w:rsid w:val="002230D9"/>
    <w:rsid w:val="002248E8"/>
    <w:rsid w:val="00224DD7"/>
    <w:rsid w:val="002279E5"/>
    <w:rsid w:val="0023280A"/>
    <w:rsid w:val="00234612"/>
    <w:rsid w:val="002349F4"/>
    <w:rsid w:val="0024192D"/>
    <w:rsid w:val="00242048"/>
    <w:rsid w:val="00244BC5"/>
    <w:rsid w:val="00245326"/>
    <w:rsid w:val="00245DA4"/>
    <w:rsid w:val="00246D47"/>
    <w:rsid w:val="002533A2"/>
    <w:rsid w:val="0025405D"/>
    <w:rsid w:val="00257400"/>
    <w:rsid w:val="00260EAF"/>
    <w:rsid w:val="00272FCF"/>
    <w:rsid w:val="002745B8"/>
    <w:rsid w:val="002811CA"/>
    <w:rsid w:val="002867F4"/>
    <w:rsid w:val="00297278"/>
    <w:rsid w:val="00297F99"/>
    <w:rsid w:val="002A47DB"/>
    <w:rsid w:val="002A48CC"/>
    <w:rsid w:val="002B0326"/>
    <w:rsid w:val="002B3E6A"/>
    <w:rsid w:val="002C0D8E"/>
    <w:rsid w:val="002C0E65"/>
    <w:rsid w:val="002C5349"/>
    <w:rsid w:val="002C67E5"/>
    <w:rsid w:val="002D08E1"/>
    <w:rsid w:val="002D0BD5"/>
    <w:rsid w:val="002D2EEB"/>
    <w:rsid w:val="002D4574"/>
    <w:rsid w:val="002E0342"/>
    <w:rsid w:val="002E14F9"/>
    <w:rsid w:val="002E17CF"/>
    <w:rsid w:val="002E4B4A"/>
    <w:rsid w:val="002E775A"/>
    <w:rsid w:val="002F2AE1"/>
    <w:rsid w:val="00307E0D"/>
    <w:rsid w:val="00307F24"/>
    <w:rsid w:val="00330238"/>
    <w:rsid w:val="003369C0"/>
    <w:rsid w:val="00341BCC"/>
    <w:rsid w:val="003450BE"/>
    <w:rsid w:val="00353C5C"/>
    <w:rsid w:val="00353D9D"/>
    <w:rsid w:val="0037096D"/>
    <w:rsid w:val="00374A63"/>
    <w:rsid w:val="00383C34"/>
    <w:rsid w:val="0038749A"/>
    <w:rsid w:val="00390DB3"/>
    <w:rsid w:val="00390DDF"/>
    <w:rsid w:val="003934A6"/>
    <w:rsid w:val="003A24AF"/>
    <w:rsid w:val="003A3ADC"/>
    <w:rsid w:val="003A7ED8"/>
    <w:rsid w:val="003B02A6"/>
    <w:rsid w:val="003B5D08"/>
    <w:rsid w:val="003C4210"/>
    <w:rsid w:val="003C5A7B"/>
    <w:rsid w:val="003C67E5"/>
    <w:rsid w:val="003D230B"/>
    <w:rsid w:val="003D2B0C"/>
    <w:rsid w:val="003D5A40"/>
    <w:rsid w:val="003D6824"/>
    <w:rsid w:val="003D723E"/>
    <w:rsid w:val="003F06C8"/>
    <w:rsid w:val="003F76AF"/>
    <w:rsid w:val="00402429"/>
    <w:rsid w:val="00403859"/>
    <w:rsid w:val="00406E0C"/>
    <w:rsid w:val="00417DFE"/>
    <w:rsid w:val="00426F73"/>
    <w:rsid w:val="00427686"/>
    <w:rsid w:val="00431F32"/>
    <w:rsid w:val="004332E7"/>
    <w:rsid w:val="004452E7"/>
    <w:rsid w:val="004467C8"/>
    <w:rsid w:val="00446D34"/>
    <w:rsid w:val="004502D2"/>
    <w:rsid w:val="004528C9"/>
    <w:rsid w:val="00452EE2"/>
    <w:rsid w:val="00453A84"/>
    <w:rsid w:val="00455D86"/>
    <w:rsid w:val="00460EF4"/>
    <w:rsid w:val="0047036A"/>
    <w:rsid w:val="004720A9"/>
    <w:rsid w:val="00484B2B"/>
    <w:rsid w:val="00484C0F"/>
    <w:rsid w:val="004914C7"/>
    <w:rsid w:val="004959CE"/>
    <w:rsid w:val="00496B8E"/>
    <w:rsid w:val="004A0559"/>
    <w:rsid w:val="004A3D07"/>
    <w:rsid w:val="004A590D"/>
    <w:rsid w:val="004A67A1"/>
    <w:rsid w:val="004A719C"/>
    <w:rsid w:val="004B053B"/>
    <w:rsid w:val="004B79EB"/>
    <w:rsid w:val="004C6947"/>
    <w:rsid w:val="004D0C13"/>
    <w:rsid w:val="004D45CB"/>
    <w:rsid w:val="004D5225"/>
    <w:rsid w:val="004D681E"/>
    <w:rsid w:val="004E203D"/>
    <w:rsid w:val="004F01E6"/>
    <w:rsid w:val="004F024D"/>
    <w:rsid w:val="004F1CFE"/>
    <w:rsid w:val="004F34AA"/>
    <w:rsid w:val="004F5721"/>
    <w:rsid w:val="004F633C"/>
    <w:rsid w:val="004F779B"/>
    <w:rsid w:val="0050094C"/>
    <w:rsid w:val="00506FB7"/>
    <w:rsid w:val="00511340"/>
    <w:rsid w:val="00516846"/>
    <w:rsid w:val="0052249B"/>
    <w:rsid w:val="005243D9"/>
    <w:rsid w:val="00524ED1"/>
    <w:rsid w:val="0053400A"/>
    <w:rsid w:val="00534D1E"/>
    <w:rsid w:val="00535866"/>
    <w:rsid w:val="0054245B"/>
    <w:rsid w:val="00542F67"/>
    <w:rsid w:val="00544D93"/>
    <w:rsid w:val="0055344C"/>
    <w:rsid w:val="00555AF6"/>
    <w:rsid w:val="00561675"/>
    <w:rsid w:val="00563183"/>
    <w:rsid w:val="00566266"/>
    <w:rsid w:val="00593AE8"/>
    <w:rsid w:val="00594328"/>
    <w:rsid w:val="00596A87"/>
    <w:rsid w:val="005A3D92"/>
    <w:rsid w:val="005A5B15"/>
    <w:rsid w:val="005B0CCE"/>
    <w:rsid w:val="005B25FC"/>
    <w:rsid w:val="005C2196"/>
    <w:rsid w:val="005C5526"/>
    <w:rsid w:val="005C7969"/>
    <w:rsid w:val="005C7C38"/>
    <w:rsid w:val="005D0CE0"/>
    <w:rsid w:val="005E0399"/>
    <w:rsid w:val="005E47A2"/>
    <w:rsid w:val="005E54BE"/>
    <w:rsid w:val="005F7C5E"/>
    <w:rsid w:val="006019D1"/>
    <w:rsid w:val="00604870"/>
    <w:rsid w:val="00610583"/>
    <w:rsid w:val="00614FE5"/>
    <w:rsid w:val="00615320"/>
    <w:rsid w:val="00621761"/>
    <w:rsid w:val="00630ECB"/>
    <w:rsid w:val="00640E8C"/>
    <w:rsid w:val="00641E65"/>
    <w:rsid w:val="006427E7"/>
    <w:rsid w:val="0064566A"/>
    <w:rsid w:val="006456A5"/>
    <w:rsid w:val="0064610D"/>
    <w:rsid w:val="0064659A"/>
    <w:rsid w:val="006536C9"/>
    <w:rsid w:val="00653EAF"/>
    <w:rsid w:val="00662345"/>
    <w:rsid w:val="0066283A"/>
    <w:rsid w:val="00664DEA"/>
    <w:rsid w:val="00665094"/>
    <w:rsid w:val="0067153B"/>
    <w:rsid w:val="00672325"/>
    <w:rsid w:val="00676780"/>
    <w:rsid w:val="006768AF"/>
    <w:rsid w:val="00681AC2"/>
    <w:rsid w:val="006835C9"/>
    <w:rsid w:val="00691C4C"/>
    <w:rsid w:val="00695B55"/>
    <w:rsid w:val="00696CCC"/>
    <w:rsid w:val="006A42B7"/>
    <w:rsid w:val="006A4570"/>
    <w:rsid w:val="006A59F8"/>
    <w:rsid w:val="006A66A2"/>
    <w:rsid w:val="006A6DE7"/>
    <w:rsid w:val="006B066D"/>
    <w:rsid w:val="006B1464"/>
    <w:rsid w:val="006B3B0D"/>
    <w:rsid w:val="006C1CBC"/>
    <w:rsid w:val="006C3C79"/>
    <w:rsid w:val="006C40D1"/>
    <w:rsid w:val="006C419D"/>
    <w:rsid w:val="006C4AC6"/>
    <w:rsid w:val="006C57BF"/>
    <w:rsid w:val="006C5B37"/>
    <w:rsid w:val="006D6E54"/>
    <w:rsid w:val="006D75AF"/>
    <w:rsid w:val="006E1294"/>
    <w:rsid w:val="006E2907"/>
    <w:rsid w:val="006E2E83"/>
    <w:rsid w:val="006E4BCE"/>
    <w:rsid w:val="006E637F"/>
    <w:rsid w:val="006F671C"/>
    <w:rsid w:val="00704A1F"/>
    <w:rsid w:val="00705261"/>
    <w:rsid w:val="00706BA0"/>
    <w:rsid w:val="00707D0A"/>
    <w:rsid w:val="00715240"/>
    <w:rsid w:val="00716382"/>
    <w:rsid w:val="00720CB9"/>
    <w:rsid w:val="00722654"/>
    <w:rsid w:val="00722A5E"/>
    <w:rsid w:val="00723AF0"/>
    <w:rsid w:val="00725BC1"/>
    <w:rsid w:val="007262C4"/>
    <w:rsid w:val="007319F1"/>
    <w:rsid w:val="00736AEF"/>
    <w:rsid w:val="00740C75"/>
    <w:rsid w:val="00745BA1"/>
    <w:rsid w:val="00756140"/>
    <w:rsid w:val="00761950"/>
    <w:rsid w:val="007623BD"/>
    <w:rsid w:val="007624EC"/>
    <w:rsid w:val="007640C5"/>
    <w:rsid w:val="00774BAB"/>
    <w:rsid w:val="0078242A"/>
    <w:rsid w:val="007874BA"/>
    <w:rsid w:val="00790397"/>
    <w:rsid w:val="00793162"/>
    <w:rsid w:val="00793817"/>
    <w:rsid w:val="00793A75"/>
    <w:rsid w:val="00795C6C"/>
    <w:rsid w:val="00796BB8"/>
    <w:rsid w:val="00797E70"/>
    <w:rsid w:val="007A4865"/>
    <w:rsid w:val="007A73A7"/>
    <w:rsid w:val="007B0103"/>
    <w:rsid w:val="007B0E0B"/>
    <w:rsid w:val="007B1713"/>
    <w:rsid w:val="007B3987"/>
    <w:rsid w:val="007B3F67"/>
    <w:rsid w:val="007B5243"/>
    <w:rsid w:val="007C4AF7"/>
    <w:rsid w:val="007C52EA"/>
    <w:rsid w:val="007D1F46"/>
    <w:rsid w:val="007E2F1F"/>
    <w:rsid w:val="007E3314"/>
    <w:rsid w:val="007E44F2"/>
    <w:rsid w:val="007E7E95"/>
    <w:rsid w:val="007F1955"/>
    <w:rsid w:val="00800312"/>
    <w:rsid w:val="00802394"/>
    <w:rsid w:val="00810AD5"/>
    <w:rsid w:val="00810E7A"/>
    <w:rsid w:val="00810F7C"/>
    <w:rsid w:val="00813C2B"/>
    <w:rsid w:val="00833C7E"/>
    <w:rsid w:val="008354FD"/>
    <w:rsid w:val="00835633"/>
    <w:rsid w:val="0083798D"/>
    <w:rsid w:val="00841821"/>
    <w:rsid w:val="00841B9A"/>
    <w:rsid w:val="00842803"/>
    <w:rsid w:val="00860FF2"/>
    <w:rsid w:val="00862333"/>
    <w:rsid w:val="0087124D"/>
    <w:rsid w:val="00873610"/>
    <w:rsid w:val="00877301"/>
    <w:rsid w:val="008837E8"/>
    <w:rsid w:val="0088682E"/>
    <w:rsid w:val="00896BA0"/>
    <w:rsid w:val="008A023B"/>
    <w:rsid w:val="008A70D5"/>
    <w:rsid w:val="008A7D23"/>
    <w:rsid w:val="008B0E1E"/>
    <w:rsid w:val="008B2D3F"/>
    <w:rsid w:val="008B62E3"/>
    <w:rsid w:val="008C1F8E"/>
    <w:rsid w:val="008C2474"/>
    <w:rsid w:val="008C2D82"/>
    <w:rsid w:val="008D1880"/>
    <w:rsid w:val="008D2DF2"/>
    <w:rsid w:val="008D5E2B"/>
    <w:rsid w:val="008E2D3A"/>
    <w:rsid w:val="008E2D3C"/>
    <w:rsid w:val="008F143B"/>
    <w:rsid w:val="008F253F"/>
    <w:rsid w:val="008F6F6B"/>
    <w:rsid w:val="00901A1D"/>
    <w:rsid w:val="0090562B"/>
    <w:rsid w:val="00913255"/>
    <w:rsid w:val="00913B76"/>
    <w:rsid w:val="009151CE"/>
    <w:rsid w:val="00915C0E"/>
    <w:rsid w:val="009255FC"/>
    <w:rsid w:val="009260A4"/>
    <w:rsid w:val="00937AC6"/>
    <w:rsid w:val="00940C66"/>
    <w:rsid w:val="009420B9"/>
    <w:rsid w:val="00945359"/>
    <w:rsid w:val="009459D6"/>
    <w:rsid w:val="009466BB"/>
    <w:rsid w:val="0094749A"/>
    <w:rsid w:val="009507D5"/>
    <w:rsid w:val="00960B7F"/>
    <w:rsid w:val="00960CFE"/>
    <w:rsid w:val="0096142E"/>
    <w:rsid w:val="00965EB4"/>
    <w:rsid w:val="00966DE4"/>
    <w:rsid w:val="0098743A"/>
    <w:rsid w:val="00987D55"/>
    <w:rsid w:val="00991731"/>
    <w:rsid w:val="00994EFD"/>
    <w:rsid w:val="009979AB"/>
    <w:rsid w:val="009A19D5"/>
    <w:rsid w:val="009B30E0"/>
    <w:rsid w:val="009B48BE"/>
    <w:rsid w:val="009D08A8"/>
    <w:rsid w:val="009D1F3F"/>
    <w:rsid w:val="009D3768"/>
    <w:rsid w:val="009D7843"/>
    <w:rsid w:val="009E0CD4"/>
    <w:rsid w:val="009E39C9"/>
    <w:rsid w:val="009F52D0"/>
    <w:rsid w:val="009F5D81"/>
    <w:rsid w:val="00A06FD7"/>
    <w:rsid w:val="00A16228"/>
    <w:rsid w:val="00A27D1C"/>
    <w:rsid w:val="00A34048"/>
    <w:rsid w:val="00A3696F"/>
    <w:rsid w:val="00A37BB9"/>
    <w:rsid w:val="00A37C26"/>
    <w:rsid w:val="00A42888"/>
    <w:rsid w:val="00A4419D"/>
    <w:rsid w:val="00A47007"/>
    <w:rsid w:val="00A47B43"/>
    <w:rsid w:val="00A562EF"/>
    <w:rsid w:val="00A62B76"/>
    <w:rsid w:val="00A65CA2"/>
    <w:rsid w:val="00A65FB8"/>
    <w:rsid w:val="00A72B01"/>
    <w:rsid w:val="00A741B7"/>
    <w:rsid w:val="00A74A31"/>
    <w:rsid w:val="00A772E3"/>
    <w:rsid w:val="00A83D1B"/>
    <w:rsid w:val="00A8727E"/>
    <w:rsid w:val="00A87F3C"/>
    <w:rsid w:val="00AA1567"/>
    <w:rsid w:val="00AA7A78"/>
    <w:rsid w:val="00AB15B7"/>
    <w:rsid w:val="00AC3A82"/>
    <w:rsid w:val="00AC4406"/>
    <w:rsid w:val="00AC646C"/>
    <w:rsid w:val="00AD29D9"/>
    <w:rsid w:val="00AD55B2"/>
    <w:rsid w:val="00AD5672"/>
    <w:rsid w:val="00AE187A"/>
    <w:rsid w:val="00AE3049"/>
    <w:rsid w:val="00AF6130"/>
    <w:rsid w:val="00AF6B88"/>
    <w:rsid w:val="00B008D6"/>
    <w:rsid w:val="00B05298"/>
    <w:rsid w:val="00B062C6"/>
    <w:rsid w:val="00B069E7"/>
    <w:rsid w:val="00B10458"/>
    <w:rsid w:val="00B160BC"/>
    <w:rsid w:val="00B2090B"/>
    <w:rsid w:val="00B23919"/>
    <w:rsid w:val="00B30E8F"/>
    <w:rsid w:val="00B31FEC"/>
    <w:rsid w:val="00B33333"/>
    <w:rsid w:val="00B419E9"/>
    <w:rsid w:val="00B421F5"/>
    <w:rsid w:val="00B50DC2"/>
    <w:rsid w:val="00B529B0"/>
    <w:rsid w:val="00B53142"/>
    <w:rsid w:val="00B536AA"/>
    <w:rsid w:val="00B5476E"/>
    <w:rsid w:val="00B551A6"/>
    <w:rsid w:val="00B67350"/>
    <w:rsid w:val="00B678FD"/>
    <w:rsid w:val="00B712F3"/>
    <w:rsid w:val="00B71CE4"/>
    <w:rsid w:val="00B7222C"/>
    <w:rsid w:val="00B74E4C"/>
    <w:rsid w:val="00B75B92"/>
    <w:rsid w:val="00B81D69"/>
    <w:rsid w:val="00B8202A"/>
    <w:rsid w:val="00B90635"/>
    <w:rsid w:val="00B91380"/>
    <w:rsid w:val="00B93EC9"/>
    <w:rsid w:val="00B95639"/>
    <w:rsid w:val="00B96AD3"/>
    <w:rsid w:val="00BA0D1A"/>
    <w:rsid w:val="00BA46B7"/>
    <w:rsid w:val="00BA4D62"/>
    <w:rsid w:val="00BB3E8A"/>
    <w:rsid w:val="00BC6B55"/>
    <w:rsid w:val="00BD49A6"/>
    <w:rsid w:val="00BE0AF6"/>
    <w:rsid w:val="00BE1292"/>
    <w:rsid w:val="00BE5D34"/>
    <w:rsid w:val="00BF0566"/>
    <w:rsid w:val="00BF170E"/>
    <w:rsid w:val="00BF1A07"/>
    <w:rsid w:val="00BF3E2B"/>
    <w:rsid w:val="00BF5D45"/>
    <w:rsid w:val="00C0612A"/>
    <w:rsid w:val="00C06EA4"/>
    <w:rsid w:val="00C076C3"/>
    <w:rsid w:val="00C12711"/>
    <w:rsid w:val="00C13272"/>
    <w:rsid w:val="00C138FC"/>
    <w:rsid w:val="00C23DB3"/>
    <w:rsid w:val="00C41E09"/>
    <w:rsid w:val="00C424A1"/>
    <w:rsid w:val="00C471CF"/>
    <w:rsid w:val="00C63E05"/>
    <w:rsid w:val="00C641A3"/>
    <w:rsid w:val="00C66B63"/>
    <w:rsid w:val="00C67CD3"/>
    <w:rsid w:val="00C71722"/>
    <w:rsid w:val="00C80EC0"/>
    <w:rsid w:val="00C93425"/>
    <w:rsid w:val="00CA1C21"/>
    <w:rsid w:val="00CA3AA9"/>
    <w:rsid w:val="00CB1DCD"/>
    <w:rsid w:val="00CB4BB3"/>
    <w:rsid w:val="00CB5769"/>
    <w:rsid w:val="00CC0D4B"/>
    <w:rsid w:val="00CC1218"/>
    <w:rsid w:val="00CC7562"/>
    <w:rsid w:val="00CD21C9"/>
    <w:rsid w:val="00CE7E91"/>
    <w:rsid w:val="00CF1282"/>
    <w:rsid w:val="00CF256C"/>
    <w:rsid w:val="00CF4AF8"/>
    <w:rsid w:val="00CF554C"/>
    <w:rsid w:val="00CF6C14"/>
    <w:rsid w:val="00CF7859"/>
    <w:rsid w:val="00D13693"/>
    <w:rsid w:val="00D14AFE"/>
    <w:rsid w:val="00D14EDF"/>
    <w:rsid w:val="00D21DAD"/>
    <w:rsid w:val="00D2384D"/>
    <w:rsid w:val="00D249B7"/>
    <w:rsid w:val="00D27460"/>
    <w:rsid w:val="00D40995"/>
    <w:rsid w:val="00D4219E"/>
    <w:rsid w:val="00D5124E"/>
    <w:rsid w:val="00D57D17"/>
    <w:rsid w:val="00D57F91"/>
    <w:rsid w:val="00D6096E"/>
    <w:rsid w:val="00D619AD"/>
    <w:rsid w:val="00D61A64"/>
    <w:rsid w:val="00D66C22"/>
    <w:rsid w:val="00D7132D"/>
    <w:rsid w:val="00D74C38"/>
    <w:rsid w:val="00D77AC4"/>
    <w:rsid w:val="00D8285A"/>
    <w:rsid w:val="00D82A69"/>
    <w:rsid w:val="00D8554D"/>
    <w:rsid w:val="00D95935"/>
    <w:rsid w:val="00D95CD2"/>
    <w:rsid w:val="00D9631E"/>
    <w:rsid w:val="00DA0EBB"/>
    <w:rsid w:val="00DA2E49"/>
    <w:rsid w:val="00DA62BD"/>
    <w:rsid w:val="00DA713D"/>
    <w:rsid w:val="00DB4F0A"/>
    <w:rsid w:val="00DC048C"/>
    <w:rsid w:val="00DC1F13"/>
    <w:rsid w:val="00DC5CFA"/>
    <w:rsid w:val="00DD01DA"/>
    <w:rsid w:val="00DD0CB5"/>
    <w:rsid w:val="00DD4204"/>
    <w:rsid w:val="00DE0790"/>
    <w:rsid w:val="00DE2185"/>
    <w:rsid w:val="00DE2C41"/>
    <w:rsid w:val="00DE333E"/>
    <w:rsid w:val="00DE5E6A"/>
    <w:rsid w:val="00DF5D12"/>
    <w:rsid w:val="00E009AD"/>
    <w:rsid w:val="00E031DC"/>
    <w:rsid w:val="00E03642"/>
    <w:rsid w:val="00E06AB1"/>
    <w:rsid w:val="00E11438"/>
    <w:rsid w:val="00E12F54"/>
    <w:rsid w:val="00E14A03"/>
    <w:rsid w:val="00E17A5D"/>
    <w:rsid w:val="00E225CB"/>
    <w:rsid w:val="00E303CB"/>
    <w:rsid w:val="00E30BA4"/>
    <w:rsid w:val="00E45462"/>
    <w:rsid w:val="00E510B3"/>
    <w:rsid w:val="00E5122A"/>
    <w:rsid w:val="00E54558"/>
    <w:rsid w:val="00E62B2C"/>
    <w:rsid w:val="00E64BE9"/>
    <w:rsid w:val="00E7171E"/>
    <w:rsid w:val="00E7644E"/>
    <w:rsid w:val="00E76485"/>
    <w:rsid w:val="00E76FBD"/>
    <w:rsid w:val="00E77212"/>
    <w:rsid w:val="00E80476"/>
    <w:rsid w:val="00E82163"/>
    <w:rsid w:val="00E83935"/>
    <w:rsid w:val="00E83A9E"/>
    <w:rsid w:val="00E875EF"/>
    <w:rsid w:val="00E93357"/>
    <w:rsid w:val="00EA5CCD"/>
    <w:rsid w:val="00EA6918"/>
    <w:rsid w:val="00EA6E20"/>
    <w:rsid w:val="00EB21F6"/>
    <w:rsid w:val="00EB7D64"/>
    <w:rsid w:val="00ED09E3"/>
    <w:rsid w:val="00ED0E4C"/>
    <w:rsid w:val="00ED5530"/>
    <w:rsid w:val="00EE2D35"/>
    <w:rsid w:val="00EF0CBF"/>
    <w:rsid w:val="00F0746A"/>
    <w:rsid w:val="00F075E4"/>
    <w:rsid w:val="00F07B20"/>
    <w:rsid w:val="00F111D6"/>
    <w:rsid w:val="00F12ADF"/>
    <w:rsid w:val="00F14AAF"/>
    <w:rsid w:val="00F25AC1"/>
    <w:rsid w:val="00F26C80"/>
    <w:rsid w:val="00F2720B"/>
    <w:rsid w:val="00F37887"/>
    <w:rsid w:val="00F37BAD"/>
    <w:rsid w:val="00F428B6"/>
    <w:rsid w:val="00F42ADC"/>
    <w:rsid w:val="00F44514"/>
    <w:rsid w:val="00F457D5"/>
    <w:rsid w:val="00F46130"/>
    <w:rsid w:val="00F53C44"/>
    <w:rsid w:val="00F54748"/>
    <w:rsid w:val="00F54BF4"/>
    <w:rsid w:val="00F5569D"/>
    <w:rsid w:val="00F60F74"/>
    <w:rsid w:val="00F668A3"/>
    <w:rsid w:val="00F7019C"/>
    <w:rsid w:val="00F70F6A"/>
    <w:rsid w:val="00F71916"/>
    <w:rsid w:val="00F73E7D"/>
    <w:rsid w:val="00F754B1"/>
    <w:rsid w:val="00F848D3"/>
    <w:rsid w:val="00F85717"/>
    <w:rsid w:val="00F8716C"/>
    <w:rsid w:val="00F93880"/>
    <w:rsid w:val="00FA532E"/>
    <w:rsid w:val="00FB062A"/>
    <w:rsid w:val="00FB42C2"/>
    <w:rsid w:val="00FC32AA"/>
    <w:rsid w:val="00FD0995"/>
    <w:rsid w:val="00FD56BF"/>
    <w:rsid w:val="00FD7DC2"/>
    <w:rsid w:val="00FE0A80"/>
    <w:rsid w:val="00FE1C83"/>
    <w:rsid w:val="00FE7DDC"/>
    <w:rsid w:val="00FF00F9"/>
    <w:rsid w:val="00FF1D12"/>
    <w:rsid w:val="00FF544E"/>
    <w:rsid w:val="00FF56E6"/>
    <w:rsid w:val="00FF7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60BF"/>
  <w15:chartTrackingRefBased/>
  <w15:docId w15:val="{E5C5FB76-6BA7-4094-9DE1-F4E9B0E7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3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2D2"/>
  </w:style>
  <w:style w:type="paragraph" w:styleId="Footer">
    <w:name w:val="footer"/>
    <w:basedOn w:val="Normal"/>
    <w:link w:val="FooterChar"/>
    <w:uiPriority w:val="99"/>
    <w:unhideWhenUsed/>
    <w:rsid w:val="00450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2D2"/>
  </w:style>
  <w:style w:type="paragraph" w:styleId="ListParagraph">
    <w:name w:val="List Paragraph"/>
    <w:basedOn w:val="Normal"/>
    <w:uiPriority w:val="34"/>
    <w:qFormat/>
    <w:rsid w:val="008A7D23"/>
    <w:pPr>
      <w:ind w:left="720"/>
      <w:contextualSpacing/>
    </w:pPr>
  </w:style>
  <w:style w:type="paragraph" w:styleId="BalloonText">
    <w:name w:val="Balloon Text"/>
    <w:basedOn w:val="Normal"/>
    <w:link w:val="BalloonTextChar"/>
    <w:uiPriority w:val="99"/>
    <w:semiHidden/>
    <w:unhideWhenUsed/>
    <w:rsid w:val="00C47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1CF"/>
    <w:rPr>
      <w:rFonts w:ascii="Segoe UI" w:hAnsi="Segoe UI" w:cs="Segoe UI"/>
      <w:sz w:val="18"/>
      <w:szCs w:val="18"/>
    </w:rPr>
  </w:style>
  <w:style w:type="character" w:styleId="Hyperlink">
    <w:name w:val="Hyperlink"/>
    <w:basedOn w:val="DefaultParagraphFont"/>
    <w:uiPriority w:val="99"/>
    <w:unhideWhenUsed/>
    <w:rsid w:val="008B62E3"/>
    <w:rPr>
      <w:color w:val="0563C1" w:themeColor="hyperlink"/>
      <w:u w:val="single"/>
    </w:rPr>
  </w:style>
  <w:style w:type="character" w:styleId="UnresolvedMention">
    <w:name w:val="Unresolved Mention"/>
    <w:basedOn w:val="DefaultParagraphFont"/>
    <w:uiPriority w:val="99"/>
    <w:semiHidden/>
    <w:unhideWhenUsed/>
    <w:rsid w:val="008B62E3"/>
    <w:rPr>
      <w:color w:val="605E5C"/>
      <w:shd w:val="clear" w:color="auto" w:fill="E1DFDD"/>
    </w:rPr>
  </w:style>
  <w:style w:type="paragraph" w:styleId="NormalWeb">
    <w:name w:val="Normal (Web)"/>
    <w:basedOn w:val="Normal"/>
    <w:uiPriority w:val="99"/>
    <w:unhideWhenUsed/>
    <w:rsid w:val="00D619A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23D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77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hicscommission.nd.gov/sites/www/files/documents/Nonsubstantive%20Comments_Fina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EC080-4B9E-40C1-8451-A47BE3415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2248</Words>
  <Characters>12818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State of North Dakota</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Thiele, David L.</dc:creator>
  <cp:keywords/>
  <dc:description/>
  <cp:lastModifiedBy>Thiele, David L.</cp:lastModifiedBy>
  <cp:revision>2</cp:revision>
  <cp:lastPrinted>2021-12-27T22:50:00Z</cp:lastPrinted>
  <dcterms:created xsi:type="dcterms:W3CDTF">2021-12-28T14:14:00Z</dcterms:created>
  <dcterms:modified xsi:type="dcterms:W3CDTF">2021-12-28T14:14:00Z</dcterms:modified>
</cp:coreProperties>
</file>