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4323" w14:textId="017D815A" w:rsidR="0066283A" w:rsidRPr="0066283A" w:rsidRDefault="0066283A" w:rsidP="00D5586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6283A">
        <w:rPr>
          <w:rFonts w:ascii="Calibri" w:eastAsia="Calibri" w:hAnsi="Calibri" w:cs="Times New Roman"/>
          <w:sz w:val="32"/>
          <w:szCs w:val="32"/>
        </w:rPr>
        <w:t>North Dakota Ethics Commission Meeting</w:t>
      </w:r>
    </w:p>
    <w:p w14:paraId="77085494" w14:textId="5C209EFA" w:rsidR="0066283A" w:rsidRPr="00563183" w:rsidRDefault="0066283A" w:rsidP="0066283A">
      <w:pPr>
        <w:jc w:val="center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Minutes of </w:t>
      </w:r>
      <w:r w:rsidR="00630D08">
        <w:rPr>
          <w:rFonts w:eastAsia="Calibri" w:cstheme="minorHAnsi"/>
          <w:sz w:val="24"/>
          <w:szCs w:val="24"/>
        </w:rPr>
        <w:t>January 26, 2022</w:t>
      </w:r>
    </w:p>
    <w:p w14:paraId="15A19AD1" w14:textId="5DEE26D9" w:rsidR="0066283A" w:rsidRPr="00563183" w:rsidRDefault="00162E6A" w:rsidP="002279E5">
      <w:pPr>
        <w:tabs>
          <w:tab w:val="left" w:pos="0"/>
        </w:tabs>
        <w:jc w:val="center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>Live Stream MS Teams</w:t>
      </w:r>
    </w:p>
    <w:p w14:paraId="373D501F" w14:textId="77777777" w:rsidR="0066283A" w:rsidRPr="00563183" w:rsidRDefault="0066283A" w:rsidP="0066283A">
      <w:pPr>
        <w:rPr>
          <w:rFonts w:eastAsia="Calibri" w:cstheme="minorHAnsi"/>
          <w:sz w:val="24"/>
          <w:szCs w:val="24"/>
        </w:rPr>
      </w:pPr>
    </w:p>
    <w:p w14:paraId="573AEC55" w14:textId="634E1A42" w:rsidR="00E5202E" w:rsidRDefault="007E3314" w:rsidP="00E5202E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  <w:u w:val="single"/>
        </w:rPr>
        <w:t>Call to Order:</w:t>
      </w:r>
      <w:r w:rsidRPr="00563183">
        <w:rPr>
          <w:rFonts w:eastAsia="Calibri" w:cstheme="minorHAnsi"/>
          <w:sz w:val="24"/>
          <w:szCs w:val="24"/>
        </w:rPr>
        <w:t xml:space="preserve">  </w:t>
      </w:r>
      <w:r w:rsidR="0066283A" w:rsidRPr="00563183">
        <w:rPr>
          <w:rFonts w:eastAsia="Calibri" w:cstheme="minorHAnsi"/>
          <w:sz w:val="24"/>
          <w:szCs w:val="24"/>
        </w:rPr>
        <w:t xml:space="preserve">The meeting was called to order by Chair </w:t>
      </w:r>
      <w:r w:rsidR="00E5202E">
        <w:rPr>
          <w:rFonts w:eastAsia="Calibri" w:cstheme="minorHAnsi"/>
          <w:sz w:val="24"/>
          <w:szCs w:val="24"/>
        </w:rPr>
        <w:t>Ron Goodman</w:t>
      </w:r>
      <w:r w:rsidR="0066283A" w:rsidRPr="00563183">
        <w:rPr>
          <w:rFonts w:eastAsia="Calibri" w:cstheme="minorHAnsi"/>
          <w:sz w:val="24"/>
          <w:szCs w:val="24"/>
        </w:rPr>
        <w:t xml:space="preserve">, at </w:t>
      </w:r>
      <w:r w:rsidR="00B91380" w:rsidRPr="00563183">
        <w:rPr>
          <w:rFonts w:eastAsia="Calibri" w:cstheme="minorHAnsi"/>
          <w:sz w:val="24"/>
          <w:szCs w:val="24"/>
        </w:rPr>
        <w:t>9</w:t>
      </w:r>
      <w:r w:rsidR="0066283A" w:rsidRPr="00563183">
        <w:rPr>
          <w:rFonts w:eastAsia="Calibri" w:cstheme="minorHAnsi"/>
          <w:sz w:val="24"/>
          <w:szCs w:val="24"/>
        </w:rPr>
        <w:t>:0</w:t>
      </w:r>
      <w:r w:rsidR="00A435CB">
        <w:rPr>
          <w:rFonts w:eastAsia="Calibri" w:cstheme="minorHAnsi"/>
          <w:sz w:val="24"/>
          <w:szCs w:val="24"/>
        </w:rPr>
        <w:t>6</w:t>
      </w:r>
      <w:r w:rsidR="0066283A"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>a</w:t>
      </w:r>
      <w:r w:rsidR="0066283A" w:rsidRPr="00563183">
        <w:rPr>
          <w:rFonts w:eastAsia="Calibri" w:cstheme="minorHAnsi"/>
          <w:sz w:val="24"/>
          <w:szCs w:val="24"/>
        </w:rPr>
        <w:t xml:space="preserve">.m. The following members of the Ethics Commission were present:  </w:t>
      </w:r>
      <w:r w:rsidR="00E5202E">
        <w:rPr>
          <w:rFonts w:eastAsia="Calibri" w:cstheme="minorHAnsi"/>
          <w:sz w:val="24"/>
          <w:szCs w:val="24"/>
        </w:rPr>
        <w:t xml:space="preserve">Cynthia Lindquist, </w:t>
      </w:r>
      <w:r w:rsidR="00B91380" w:rsidRPr="00563183">
        <w:rPr>
          <w:rFonts w:eastAsia="Calibri" w:cstheme="minorHAnsi"/>
          <w:sz w:val="24"/>
          <w:szCs w:val="24"/>
        </w:rPr>
        <w:t>Paul Richard,</w:t>
      </w:r>
      <w:r w:rsidR="00460EF4" w:rsidRPr="00563183">
        <w:rPr>
          <w:rFonts w:eastAsia="Calibri" w:cstheme="minorHAnsi"/>
          <w:sz w:val="24"/>
          <w:szCs w:val="24"/>
        </w:rPr>
        <w:t xml:space="preserve"> </w:t>
      </w:r>
      <w:r w:rsidR="004D681E" w:rsidRPr="00563183">
        <w:rPr>
          <w:rFonts w:eastAsia="Calibri" w:cstheme="minorHAnsi"/>
          <w:sz w:val="24"/>
          <w:szCs w:val="24"/>
        </w:rPr>
        <w:t xml:space="preserve">Ward Koeser </w:t>
      </w:r>
      <w:r w:rsidR="00795C6C" w:rsidRPr="00563183">
        <w:rPr>
          <w:rFonts w:eastAsia="Calibri" w:cstheme="minorHAnsi"/>
          <w:sz w:val="24"/>
          <w:szCs w:val="24"/>
        </w:rPr>
        <w:t xml:space="preserve">and </w:t>
      </w:r>
      <w:r w:rsidR="0066283A" w:rsidRPr="00563183">
        <w:rPr>
          <w:rFonts w:eastAsia="Calibri" w:cstheme="minorHAnsi"/>
          <w:sz w:val="24"/>
          <w:szCs w:val="24"/>
        </w:rPr>
        <w:t>David Anderson</w:t>
      </w:r>
      <w:r w:rsidR="00BA0D1A" w:rsidRPr="00563183">
        <w:rPr>
          <w:rFonts w:eastAsia="Calibri" w:cstheme="minorHAnsi"/>
          <w:sz w:val="24"/>
          <w:szCs w:val="24"/>
        </w:rPr>
        <w:t xml:space="preserve">. </w:t>
      </w:r>
      <w:r w:rsidR="004D681E" w:rsidRPr="00563183">
        <w:rPr>
          <w:rFonts w:eastAsia="Calibri" w:cstheme="minorHAnsi"/>
          <w:sz w:val="24"/>
          <w:szCs w:val="24"/>
        </w:rPr>
        <w:t xml:space="preserve"> </w:t>
      </w:r>
      <w:r w:rsidR="0066283A" w:rsidRPr="00563183">
        <w:rPr>
          <w:rFonts w:eastAsia="Calibri" w:cstheme="minorHAnsi"/>
          <w:sz w:val="24"/>
          <w:szCs w:val="24"/>
        </w:rPr>
        <w:t xml:space="preserve">Also present </w:t>
      </w:r>
      <w:r w:rsidR="00E7644E" w:rsidRPr="00563183">
        <w:rPr>
          <w:rFonts w:eastAsia="Calibri" w:cstheme="minorHAnsi"/>
          <w:sz w:val="24"/>
          <w:szCs w:val="24"/>
        </w:rPr>
        <w:t>were</w:t>
      </w:r>
      <w:r w:rsidR="0066283A" w:rsidRPr="00563183">
        <w:rPr>
          <w:rFonts w:eastAsia="Calibri" w:cstheme="minorHAnsi"/>
          <w:sz w:val="24"/>
          <w:szCs w:val="24"/>
        </w:rPr>
        <w:t xml:space="preserve"> Ethics Commission legal counsel Allyson M. Hicks, </w:t>
      </w:r>
      <w:r w:rsidR="00E7644E" w:rsidRPr="00563183">
        <w:rPr>
          <w:rFonts w:eastAsia="Calibri" w:cstheme="minorHAnsi"/>
          <w:sz w:val="24"/>
          <w:szCs w:val="24"/>
        </w:rPr>
        <w:t xml:space="preserve">Executive Director </w:t>
      </w:r>
      <w:r w:rsidR="0066283A" w:rsidRPr="00563183">
        <w:rPr>
          <w:rFonts w:eastAsia="Calibri" w:cstheme="minorHAnsi"/>
          <w:sz w:val="24"/>
          <w:szCs w:val="24"/>
        </w:rPr>
        <w:t>Dave Thiele,</w:t>
      </w:r>
      <w:r w:rsidR="00162E6A" w:rsidRPr="00563183">
        <w:rPr>
          <w:rFonts w:eastAsia="Calibri" w:cstheme="minorHAnsi"/>
          <w:sz w:val="24"/>
          <w:szCs w:val="24"/>
        </w:rPr>
        <w:t xml:space="preserve"> and </w:t>
      </w:r>
      <w:r w:rsidR="00E7644E" w:rsidRPr="00563183">
        <w:rPr>
          <w:rFonts w:eastAsia="Calibri" w:cstheme="minorHAnsi"/>
          <w:sz w:val="24"/>
          <w:szCs w:val="24"/>
        </w:rPr>
        <w:t xml:space="preserve">Office Manager </w:t>
      </w:r>
      <w:r w:rsidR="00162E6A" w:rsidRPr="00563183">
        <w:rPr>
          <w:rFonts w:eastAsia="Calibri" w:cstheme="minorHAnsi"/>
          <w:sz w:val="24"/>
          <w:szCs w:val="24"/>
        </w:rPr>
        <w:t>Holly Gaugler</w:t>
      </w:r>
      <w:r w:rsidR="0066283A" w:rsidRPr="00563183">
        <w:rPr>
          <w:rFonts w:eastAsia="Calibri" w:cstheme="minorHAnsi"/>
          <w:sz w:val="24"/>
          <w:szCs w:val="24"/>
        </w:rPr>
        <w:t>.</w:t>
      </w:r>
    </w:p>
    <w:p w14:paraId="198E4FF7" w14:textId="06892AC8" w:rsidR="004D681E" w:rsidRPr="00563183" w:rsidRDefault="0066283A" w:rsidP="00E5202E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 xml:space="preserve"> </w:t>
      </w:r>
    </w:p>
    <w:p w14:paraId="46303968" w14:textId="3E3093DC" w:rsidR="006C57BF" w:rsidRPr="00563183" w:rsidRDefault="007E3314" w:rsidP="00167E60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  <w:u w:val="single"/>
        </w:rPr>
        <w:t>Approval of Agenda</w:t>
      </w:r>
      <w:r w:rsidRPr="00563183">
        <w:rPr>
          <w:rFonts w:eastAsia="Calibri" w:cstheme="minorHAnsi"/>
          <w:sz w:val="24"/>
          <w:szCs w:val="24"/>
        </w:rPr>
        <w:t xml:space="preserve">: </w:t>
      </w:r>
      <w:r w:rsidR="002349F4" w:rsidRPr="00563183">
        <w:rPr>
          <w:rFonts w:eastAsia="Calibri" w:cstheme="minorHAnsi"/>
          <w:sz w:val="24"/>
          <w:szCs w:val="24"/>
        </w:rPr>
        <w:t xml:space="preserve">The agenda </w:t>
      </w:r>
      <w:r w:rsidR="00B91380" w:rsidRPr="00563183">
        <w:rPr>
          <w:rFonts w:eastAsia="Calibri" w:cstheme="minorHAnsi"/>
          <w:sz w:val="24"/>
          <w:szCs w:val="24"/>
        </w:rPr>
        <w:t>was discussed</w:t>
      </w:r>
      <w:r w:rsidR="002349F4" w:rsidRPr="00563183">
        <w:rPr>
          <w:rFonts w:eastAsia="Calibri" w:cstheme="minorHAnsi"/>
          <w:sz w:val="24"/>
          <w:szCs w:val="24"/>
        </w:rPr>
        <w:t xml:space="preserve"> for this meeting</w:t>
      </w:r>
      <w:r w:rsidR="007262C4" w:rsidRPr="00563183">
        <w:rPr>
          <w:rFonts w:eastAsia="Calibri" w:cstheme="minorHAnsi"/>
          <w:sz w:val="24"/>
          <w:szCs w:val="24"/>
        </w:rPr>
        <w:t xml:space="preserve"> </w:t>
      </w:r>
      <w:r w:rsidR="000E25A2" w:rsidRPr="00563183">
        <w:rPr>
          <w:rFonts w:eastAsia="Calibri" w:cstheme="minorHAnsi"/>
          <w:sz w:val="24"/>
          <w:szCs w:val="24"/>
        </w:rPr>
        <w:t>with no additions.</w:t>
      </w:r>
    </w:p>
    <w:p w14:paraId="7167A3ED" w14:textId="77777777" w:rsidR="00167E60" w:rsidRPr="00563183" w:rsidRDefault="00167E60" w:rsidP="00167E60">
      <w:pPr>
        <w:contextualSpacing/>
        <w:jc w:val="both"/>
        <w:rPr>
          <w:rFonts w:eastAsia="Calibri" w:cstheme="minorHAnsi"/>
          <w:sz w:val="24"/>
          <w:szCs w:val="24"/>
        </w:rPr>
      </w:pPr>
    </w:p>
    <w:p w14:paraId="239EC48F" w14:textId="5CF0C0BC" w:rsidR="0066283A" w:rsidRPr="00563183" w:rsidRDefault="007E3314" w:rsidP="008837E8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  <w:u w:val="single"/>
        </w:rPr>
        <w:t>Approval of Minutes</w:t>
      </w:r>
      <w:r w:rsidRPr="00563183">
        <w:rPr>
          <w:rFonts w:eastAsia="Calibri" w:cstheme="minorHAnsi"/>
          <w:sz w:val="24"/>
          <w:szCs w:val="24"/>
        </w:rPr>
        <w:t xml:space="preserve">: </w:t>
      </w:r>
      <w:r w:rsidR="00B91380" w:rsidRPr="00563183">
        <w:rPr>
          <w:rFonts w:eastAsia="Calibri" w:cstheme="minorHAnsi"/>
          <w:sz w:val="24"/>
          <w:szCs w:val="24"/>
        </w:rPr>
        <w:t xml:space="preserve">The minutes of the </w:t>
      </w:r>
      <w:r w:rsidR="00E5202E">
        <w:rPr>
          <w:rFonts w:eastAsia="Calibri" w:cstheme="minorHAnsi"/>
          <w:sz w:val="24"/>
          <w:szCs w:val="24"/>
        </w:rPr>
        <w:t>15</w:t>
      </w:r>
      <w:r w:rsidR="00524ED1" w:rsidRPr="00563183">
        <w:rPr>
          <w:rFonts w:eastAsia="Calibri" w:cstheme="minorHAnsi"/>
          <w:sz w:val="24"/>
          <w:szCs w:val="24"/>
        </w:rPr>
        <w:t xml:space="preserve"> </w:t>
      </w:r>
      <w:r w:rsidR="00E5202E">
        <w:rPr>
          <w:rFonts w:eastAsia="Calibri" w:cstheme="minorHAnsi"/>
          <w:sz w:val="24"/>
          <w:szCs w:val="24"/>
        </w:rPr>
        <w:t>Decem</w:t>
      </w:r>
      <w:r w:rsidR="000E25A2" w:rsidRPr="00563183">
        <w:rPr>
          <w:rFonts w:eastAsia="Calibri" w:cstheme="minorHAnsi"/>
          <w:sz w:val="24"/>
          <w:szCs w:val="24"/>
        </w:rPr>
        <w:t>ber</w:t>
      </w:r>
      <w:r w:rsidR="007262C4" w:rsidRPr="00563183">
        <w:rPr>
          <w:rFonts w:eastAsia="Calibri" w:cstheme="minorHAnsi"/>
          <w:sz w:val="24"/>
          <w:szCs w:val="24"/>
        </w:rPr>
        <w:t xml:space="preserve"> 2021</w:t>
      </w:r>
      <w:r w:rsidR="009459D6"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>meeting were discussed</w:t>
      </w:r>
      <w:r w:rsidR="007B0E0B" w:rsidRPr="00563183">
        <w:rPr>
          <w:rFonts w:eastAsia="Calibri" w:cstheme="minorHAnsi"/>
          <w:sz w:val="24"/>
          <w:szCs w:val="24"/>
        </w:rPr>
        <w:t xml:space="preserve"> with no changes.</w:t>
      </w:r>
    </w:p>
    <w:p w14:paraId="5A0121AC" w14:textId="41F9E441" w:rsidR="00077EC1" w:rsidRPr="00563183" w:rsidRDefault="009459D6" w:rsidP="008837E8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</w:p>
    <w:p w14:paraId="4159010A" w14:textId="7092CE5A" w:rsidR="00210ACE" w:rsidRPr="00563183" w:rsidRDefault="0066283A" w:rsidP="00800312">
      <w:pPr>
        <w:ind w:left="1080" w:right="900"/>
        <w:contextualSpacing/>
        <w:jc w:val="both"/>
        <w:rPr>
          <w:rFonts w:eastAsia="Calibri" w:cstheme="minorHAnsi"/>
          <w:bCs/>
          <w:sz w:val="24"/>
          <w:szCs w:val="24"/>
        </w:rPr>
      </w:pPr>
      <w:bookmarkStart w:id="0" w:name="_Hlk36623567"/>
      <w:bookmarkStart w:id="1" w:name="_Hlk62737408"/>
      <w:r w:rsidRPr="00563183">
        <w:rPr>
          <w:rFonts w:eastAsia="Calibri" w:cstheme="minorHAnsi"/>
          <w:b/>
          <w:sz w:val="24"/>
          <w:szCs w:val="24"/>
          <w:u w:val="single"/>
        </w:rPr>
        <w:t>Motion:</w:t>
      </w:r>
      <w:r w:rsidRPr="00563183">
        <w:rPr>
          <w:rFonts w:eastAsia="Calibri" w:cstheme="minorHAnsi"/>
          <w:sz w:val="24"/>
          <w:szCs w:val="24"/>
        </w:rPr>
        <w:t xml:space="preserve">  </w:t>
      </w:r>
      <w:r w:rsidR="002D4574" w:rsidRPr="00563183">
        <w:rPr>
          <w:rFonts w:eastAsia="Calibri" w:cstheme="minorHAnsi"/>
          <w:sz w:val="24"/>
          <w:szCs w:val="24"/>
        </w:rPr>
        <w:t>Commissioner</w:t>
      </w:r>
      <w:r w:rsidR="00A83D1B" w:rsidRPr="00563183">
        <w:rPr>
          <w:rFonts w:eastAsia="Calibri" w:cstheme="minorHAnsi"/>
          <w:sz w:val="24"/>
          <w:szCs w:val="24"/>
        </w:rPr>
        <w:t xml:space="preserve"> </w:t>
      </w:r>
      <w:r w:rsidR="00C10B03">
        <w:rPr>
          <w:rFonts w:eastAsia="Calibri" w:cstheme="minorHAnsi"/>
          <w:sz w:val="24"/>
          <w:szCs w:val="24"/>
        </w:rPr>
        <w:t>Anderson</w:t>
      </w:r>
      <w:r w:rsidRPr="00563183">
        <w:rPr>
          <w:rFonts w:eastAsia="Calibri" w:cstheme="minorHAnsi"/>
          <w:sz w:val="24"/>
          <w:szCs w:val="24"/>
        </w:rPr>
        <w:t xml:space="preserve"> moved to approve the minutes of </w:t>
      </w:r>
      <w:r w:rsidR="00E5202E">
        <w:rPr>
          <w:rFonts w:eastAsia="Calibri" w:cstheme="minorHAnsi"/>
          <w:sz w:val="24"/>
          <w:szCs w:val="24"/>
        </w:rPr>
        <w:t>December</w:t>
      </w:r>
      <w:r w:rsidR="00405FCB">
        <w:rPr>
          <w:rFonts w:eastAsia="Calibri" w:cstheme="minorHAnsi"/>
          <w:sz w:val="24"/>
          <w:szCs w:val="24"/>
        </w:rPr>
        <w:t xml:space="preserve"> </w:t>
      </w:r>
      <w:r w:rsidR="00E5202E">
        <w:rPr>
          <w:rFonts w:eastAsia="Calibri" w:cstheme="minorHAnsi"/>
          <w:sz w:val="24"/>
          <w:szCs w:val="24"/>
        </w:rPr>
        <w:t>15</w:t>
      </w:r>
      <w:r w:rsidR="007262C4" w:rsidRPr="00563183">
        <w:rPr>
          <w:rFonts w:eastAsia="Calibri" w:cstheme="minorHAnsi"/>
          <w:sz w:val="24"/>
          <w:szCs w:val="24"/>
        </w:rPr>
        <w:t>,</w:t>
      </w:r>
      <w:r w:rsidR="00405FCB">
        <w:rPr>
          <w:rFonts w:eastAsia="Calibri" w:cstheme="minorHAnsi"/>
          <w:sz w:val="24"/>
          <w:szCs w:val="24"/>
        </w:rPr>
        <w:t xml:space="preserve"> </w:t>
      </w:r>
      <w:proofErr w:type="gramStart"/>
      <w:r w:rsidR="007262C4" w:rsidRPr="00563183">
        <w:rPr>
          <w:rFonts w:eastAsia="Calibri" w:cstheme="minorHAnsi"/>
          <w:sz w:val="24"/>
          <w:szCs w:val="24"/>
        </w:rPr>
        <w:t>2021</w:t>
      </w:r>
      <w:proofErr w:type="gramEnd"/>
      <w:r w:rsidR="00CF1282" w:rsidRPr="00563183">
        <w:rPr>
          <w:rFonts w:eastAsia="Calibri" w:cstheme="minorHAnsi"/>
          <w:sz w:val="24"/>
          <w:szCs w:val="24"/>
        </w:rPr>
        <w:t xml:space="preserve"> with </w:t>
      </w:r>
      <w:r w:rsidR="007B0E0B" w:rsidRPr="00563183">
        <w:rPr>
          <w:rFonts w:eastAsia="Calibri" w:cstheme="minorHAnsi"/>
          <w:sz w:val="24"/>
          <w:szCs w:val="24"/>
        </w:rPr>
        <w:t xml:space="preserve">no </w:t>
      </w:r>
      <w:r w:rsidR="00CF1282" w:rsidRPr="00563183">
        <w:rPr>
          <w:rFonts w:eastAsia="Calibri" w:cstheme="minorHAnsi"/>
          <w:sz w:val="24"/>
          <w:szCs w:val="24"/>
        </w:rPr>
        <w:t>correction</w:t>
      </w:r>
      <w:r w:rsidR="007B0E0B" w:rsidRPr="00563183">
        <w:rPr>
          <w:rFonts w:eastAsia="Calibri" w:cstheme="minorHAnsi"/>
          <w:sz w:val="24"/>
          <w:szCs w:val="24"/>
        </w:rPr>
        <w:t>s</w:t>
      </w:r>
      <w:r w:rsidRPr="00563183">
        <w:rPr>
          <w:rFonts w:eastAsia="Calibri" w:cstheme="minorHAnsi"/>
          <w:sz w:val="24"/>
          <w:szCs w:val="24"/>
        </w:rPr>
        <w:t xml:space="preserve">.  </w:t>
      </w:r>
      <w:bookmarkStart w:id="2" w:name="_Hlk34636288"/>
      <w:r w:rsidRPr="00563183">
        <w:rPr>
          <w:rFonts w:eastAsia="Calibri" w:cstheme="minorHAnsi"/>
          <w:sz w:val="24"/>
          <w:szCs w:val="24"/>
        </w:rPr>
        <w:t xml:space="preserve">Motion was seconded by </w:t>
      </w:r>
      <w:r w:rsidR="002D4574" w:rsidRPr="00563183">
        <w:rPr>
          <w:rFonts w:eastAsia="Calibri" w:cstheme="minorHAnsi"/>
          <w:sz w:val="24"/>
          <w:szCs w:val="24"/>
        </w:rPr>
        <w:t>Commissioner</w:t>
      </w:r>
      <w:r w:rsidR="00A4419D" w:rsidRPr="00563183">
        <w:rPr>
          <w:rFonts w:eastAsia="Calibri" w:cstheme="minorHAnsi"/>
          <w:sz w:val="24"/>
          <w:szCs w:val="24"/>
        </w:rPr>
        <w:t xml:space="preserve"> </w:t>
      </w:r>
      <w:r w:rsidR="00C10B03">
        <w:rPr>
          <w:rFonts w:eastAsia="Calibri" w:cstheme="minorHAnsi"/>
          <w:sz w:val="24"/>
          <w:szCs w:val="24"/>
        </w:rPr>
        <w:t>Lindquist</w:t>
      </w:r>
      <w:r w:rsidRPr="00563183">
        <w:rPr>
          <w:rFonts w:eastAsia="Calibri" w:cstheme="minorHAnsi"/>
          <w:sz w:val="24"/>
          <w:szCs w:val="24"/>
        </w:rPr>
        <w:t xml:space="preserve">. Chair </w:t>
      </w:r>
      <w:r w:rsidR="00C10B03">
        <w:rPr>
          <w:rFonts w:eastAsia="Calibri" w:cstheme="minorHAnsi"/>
          <w:sz w:val="24"/>
          <w:szCs w:val="24"/>
        </w:rPr>
        <w:t>Goodman</w:t>
      </w:r>
      <w:r w:rsidR="00B91380" w:rsidRPr="00563183">
        <w:rPr>
          <w:rFonts w:eastAsia="Calibri" w:cstheme="minorHAnsi"/>
          <w:sz w:val="24"/>
          <w:szCs w:val="24"/>
        </w:rPr>
        <w:t xml:space="preserve"> </w:t>
      </w:r>
      <w:r w:rsidRPr="00563183">
        <w:rPr>
          <w:rFonts w:eastAsia="Calibri" w:cstheme="minorHAnsi"/>
          <w:sz w:val="24"/>
          <w:szCs w:val="24"/>
        </w:rPr>
        <w:t xml:space="preserve">called for a voice vote on the motion.  </w:t>
      </w:r>
      <w:r w:rsidR="002349F4" w:rsidRPr="00563183">
        <w:rPr>
          <w:rFonts w:eastAsia="Calibri" w:cstheme="minorHAnsi"/>
          <w:sz w:val="24"/>
          <w:szCs w:val="24"/>
        </w:rPr>
        <w:t xml:space="preserve">The </w:t>
      </w:r>
      <w:r w:rsidR="00153658" w:rsidRPr="00563183">
        <w:rPr>
          <w:rFonts w:eastAsia="Calibri" w:cstheme="minorHAnsi"/>
          <w:bCs/>
          <w:sz w:val="24"/>
          <w:szCs w:val="24"/>
        </w:rPr>
        <w:t>m</w:t>
      </w:r>
      <w:r w:rsidR="002349F4" w:rsidRPr="00563183">
        <w:rPr>
          <w:rFonts w:eastAsia="Calibri" w:cstheme="minorHAnsi"/>
          <w:bCs/>
          <w:sz w:val="24"/>
          <w:szCs w:val="24"/>
        </w:rPr>
        <w:t>otion was approved by unanimous voice vote.</w:t>
      </w:r>
      <w:bookmarkEnd w:id="0"/>
      <w:bookmarkEnd w:id="1"/>
      <w:bookmarkEnd w:id="2"/>
    </w:p>
    <w:p w14:paraId="6BA34AC5" w14:textId="77777777" w:rsidR="00AC646C" w:rsidRPr="00563183" w:rsidRDefault="00AC646C" w:rsidP="00AC646C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0C209137" w14:textId="62E3E361" w:rsidR="009420B9" w:rsidRDefault="007E3314" w:rsidP="00BA535D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C10B03">
        <w:rPr>
          <w:rFonts w:eastAsia="Calibri" w:cstheme="minorHAnsi"/>
          <w:sz w:val="24"/>
          <w:szCs w:val="24"/>
          <w:u w:val="single"/>
        </w:rPr>
        <w:t xml:space="preserve">Budget Update: </w:t>
      </w:r>
      <w:r w:rsidRPr="00C10B03">
        <w:rPr>
          <w:rFonts w:eastAsia="Calibri" w:cstheme="minorHAnsi"/>
          <w:sz w:val="24"/>
          <w:szCs w:val="24"/>
        </w:rPr>
        <w:t xml:space="preserve"> </w:t>
      </w:r>
      <w:r w:rsidR="003C5A7B" w:rsidRPr="00C10B03">
        <w:rPr>
          <w:rFonts w:eastAsia="Calibri" w:cstheme="minorHAnsi"/>
          <w:sz w:val="24"/>
          <w:szCs w:val="24"/>
        </w:rPr>
        <w:t xml:space="preserve">Office Manager Holly Gaugler provided a budget update as of </w:t>
      </w:r>
      <w:r w:rsidR="00C10B03" w:rsidRPr="00C10B03">
        <w:rPr>
          <w:rFonts w:eastAsia="Calibri" w:cstheme="minorHAnsi"/>
          <w:sz w:val="24"/>
          <w:szCs w:val="24"/>
        </w:rPr>
        <w:t>Dec</w:t>
      </w:r>
      <w:r w:rsidR="004D0C13" w:rsidRPr="00C10B03">
        <w:rPr>
          <w:rFonts w:eastAsia="Calibri" w:cstheme="minorHAnsi"/>
          <w:sz w:val="24"/>
          <w:szCs w:val="24"/>
        </w:rPr>
        <w:t>e</w:t>
      </w:r>
      <w:r w:rsidR="00FB42C2" w:rsidRPr="00C10B03">
        <w:rPr>
          <w:rFonts w:eastAsia="Calibri" w:cstheme="minorHAnsi"/>
          <w:sz w:val="24"/>
          <w:szCs w:val="24"/>
        </w:rPr>
        <w:t>mber 3</w:t>
      </w:r>
      <w:r w:rsidR="00C10B03" w:rsidRPr="00C10B03">
        <w:rPr>
          <w:rFonts w:eastAsia="Calibri" w:cstheme="minorHAnsi"/>
          <w:sz w:val="24"/>
          <w:szCs w:val="24"/>
        </w:rPr>
        <w:t>1</w:t>
      </w:r>
      <w:r w:rsidR="003C5A7B" w:rsidRPr="00C10B03">
        <w:rPr>
          <w:rFonts w:eastAsia="Calibri" w:cstheme="minorHAnsi"/>
          <w:sz w:val="24"/>
          <w:szCs w:val="24"/>
        </w:rPr>
        <w:t xml:space="preserve">, 2021. </w:t>
      </w:r>
      <w:r w:rsidR="003C5A7B" w:rsidRPr="00C10B03">
        <w:rPr>
          <w:rFonts w:cstheme="minorHAnsi"/>
          <w:sz w:val="24"/>
          <w:szCs w:val="24"/>
        </w:rPr>
        <w:t>Gaugler</w:t>
      </w:r>
      <w:r w:rsidR="003C5A7B" w:rsidRPr="00C10B03">
        <w:rPr>
          <w:rFonts w:eastAsia="Calibri" w:cstheme="minorHAnsi"/>
          <w:sz w:val="24"/>
          <w:szCs w:val="24"/>
        </w:rPr>
        <w:t xml:space="preserve"> reported </w:t>
      </w:r>
      <w:r w:rsidR="00C10B03" w:rsidRPr="00C10B03">
        <w:rPr>
          <w:rFonts w:eastAsia="Calibri" w:cstheme="minorHAnsi"/>
          <w:sz w:val="24"/>
          <w:szCs w:val="24"/>
        </w:rPr>
        <w:t>Dec</w:t>
      </w:r>
      <w:r w:rsidR="00FB42C2" w:rsidRPr="00C10B03">
        <w:rPr>
          <w:rFonts w:eastAsia="Calibri" w:cstheme="minorHAnsi"/>
          <w:sz w:val="24"/>
          <w:szCs w:val="24"/>
        </w:rPr>
        <w:t>ember</w:t>
      </w:r>
      <w:r w:rsidR="003C5A7B" w:rsidRPr="00C10B03">
        <w:rPr>
          <w:rFonts w:eastAsia="Calibri" w:cstheme="minorHAnsi"/>
          <w:sz w:val="24"/>
          <w:szCs w:val="24"/>
        </w:rPr>
        <w:t xml:space="preserve"> 2021 expenditures of $</w:t>
      </w:r>
      <w:r w:rsidR="00FD0995" w:rsidRPr="00C10B03">
        <w:rPr>
          <w:rFonts w:eastAsia="Calibri" w:cstheme="minorHAnsi"/>
          <w:sz w:val="24"/>
          <w:szCs w:val="24"/>
        </w:rPr>
        <w:t>2</w:t>
      </w:r>
      <w:r w:rsidR="00C10B03" w:rsidRPr="00C10B03">
        <w:rPr>
          <w:rFonts w:eastAsia="Calibri" w:cstheme="minorHAnsi"/>
          <w:sz w:val="24"/>
          <w:szCs w:val="24"/>
        </w:rPr>
        <w:t>5</w:t>
      </w:r>
      <w:r w:rsidR="00FD0995" w:rsidRPr="00C10B03">
        <w:rPr>
          <w:rFonts w:eastAsia="Calibri" w:cstheme="minorHAnsi"/>
          <w:sz w:val="24"/>
          <w:szCs w:val="24"/>
        </w:rPr>
        <w:t>,</w:t>
      </w:r>
      <w:r w:rsidR="00C10B03" w:rsidRPr="00C10B03">
        <w:rPr>
          <w:rFonts w:eastAsia="Calibri" w:cstheme="minorHAnsi"/>
          <w:sz w:val="24"/>
          <w:szCs w:val="24"/>
        </w:rPr>
        <w:t>430</w:t>
      </w:r>
      <w:r w:rsidR="003C5A7B" w:rsidRPr="00C10B03">
        <w:rPr>
          <w:rFonts w:eastAsia="Calibri" w:cstheme="minorHAnsi"/>
          <w:sz w:val="24"/>
          <w:szCs w:val="24"/>
        </w:rPr>
        <w:t xml:space="preserve"> </w:t>
      </w:r>
      <w:r w:rsidR="0039701B">
        <w:rPr>
          <w:rFonts w:eastAsia="Calibri" w:cstheme="minorHAnsi"/>
          <w:sz w:val="24"/>
          <w:szCs w:val="24"/>
        </w:rPr>
        <w:t xml:space="preserve">and total expenditures for the biennium of $133,287 </w:t>
      </w:r>
      <w:r w:rsidR="009D08A8" w:rsidRPr="00C10B03">
        <w:rPr>
          <w:rFonts w:eastAsia="Calibri" w:cstheme="minorHAnsi"/>
          <w:sz w:val="24"/>
          <w:szCs w:val="24"/>
        </w:rPr>
        <w:t>leaving</w:t>
      </w:r>
      <w:r w:rsidR="003C5A7B" w:rsidRPr="00C10B03">
        <w:rPr>
          <w:rFonts w:eastAsia="Calibri" w:cstheme="minorHAnsi"/>
          <w:sz w:val="24"/>
          <w:szCs w:val="24"/>
        </w:rPr>
        <w:t xml:space="preserve"> a remaining </w:t>
      </w:r>
      <w:r w:rsidR="009D08A8" w:rsidRPr="00C10B03">
        <w:rPr>
          <w:rFonts w:eastAsia="Calibri" w:cstheme="minorHAnsi"/>
          <w:sz w:val="24"/>
          <w:szCs w:val="24"/>
        </w:rPr>
        <w:t xml:space="preserve">biennial </w:t>
      </w:r>
      <w:r w:rsidR="003C5A7B" w:rsidRPr="00C10B03">
        <w:rPr>
          <w:rFonts w:eastAsia="Calibri" w:cstheme="minorHAnsi"/>
          <w:sz w:val="24"/>
          <w:szCs w:val="24"/>
        </w:rPr>
        <w:t>budget of $</w:t>
      </w:r>
      <w:r w:rsidR="00C10B03" w:rsidRPr="00C10B03">
        <w:rPr>
          <w:rFonts w:eastAsia="Calibri" w:cstheme="minorHAnsi"/>
          <w:sz w:val="24"/>
          <w:szCs w:val="24"/>
        </w:rPr>
        <w:t>490</w:t>
      </w:r>
      <w:r w:rsidR="00FB42C2" w:rsidRPr="00C10B03">
        <w:rPr>
          <w:rFonts w:eastAsia="Calibri" w:cstheme="minorHAnsi"/>
          <w:sz w:val="24"/>
          <w:szCs w:val="24"/>
        </w:rPr>
        <w:t>,</w:t>
      </w:r>
      <w:r w:rsidR="00C10B03" w:rsidRPr="00C10B03">
        <w:rPr>
          <w:rFonts w:eastAsia="Calibri" w:cstheme="minorHAnsi"/>
          <w:sz w:val="24"/>
          <w:szCs w:val="24"/>
        </w:rPr>
        <w:t>69</w:t>
      </w:r>
      <w:r w:rsidR="004D0C13" w:rsidRPr="00C10B03">
        <w:rPr>
          <w:rFonts w:eastAsia="Calibri" w:cstheme="minorHAnsi"/>
          <w:sz w:val="24"/>
          <w:szCs w:val="24"/>
        </w:rPr>
        <w:t>7</w:t>
      </w:r>
      <w:r w:rsidR="003C5A7B" w:rsidRPr="00C10B03">
        <w:rPr>
          <w:rFonts w:eastAsia="Calibri" w:cstheme="minorHAnsi"/>
          <w:sz w:val="24"/>
          <w:szCs w:val="24"/>
        </w:rPr>
        <w:t>. Gaugler also reported projected expenditures for the remainder of the biennium (</w:t>
      </w:r>
      <w:r w:rsidR="00C10B03" w:rsidRPr="00C10B03">
        <w:rPr>
          <w:rFonts w:eastAsia="Calibri" w:cstheme="minorHAnsi"/>
          <w:sz w:val="24"/>
          <w:szCs w:val="24"/>
        </w:rPr>
        <w:t>January</w:t>
      </w:r>
      <w:r w:rsidR="003C5A7B" w:rsidRPr="00C10B03">
        <w:rPr>
          <w:rFonts w:eastAsia="Calibri" w:cstheme="minorHAnsi"/>
          <w:sz w:val="24"/>
          <w:szCs w:val="24"/>
        </w:rPr>
        <w:t xml:space="preserve"> 1, </w:t>
      </w:r>
      <w:proofErr w:type="gramStart"/>
      <w:r w:rsidR="003C5A7B" w:rsidRPr="00C10B03">
        <w:rPr>
          <w:rFonts w:eastAsia="Calibri" w:cstheme="minorHAnsi"/>
          <w:sz w:val="24"/>
          <w:szCs w:val="24"/>
        </w:rPr>
        <w:t>202</w:t>
      </w:r>
      <w:r w:rsidR="00C10B03" w:rsidRPr="00C10B03">
        <w:rPr>
          <w:rFonts w:eastAsia="Calibri" w:cstheme="minorHAnsi"/>
          <w:sz w:val="24"/>
          <w:szCs w:val="24"/>
        </w:rPr>
        <w:t>2</w:t>
      </w:r>
      <w:proofErr w:type="gramEnd"/>
      <w:r w:rsidR="003C5A7B" w:rsidRPr="00C10B03">
        <w:rPr>
          <w:rFonts w:eastAsia="Calibri" w:cstheme="minorHAnsi"/>
          <w:sz w:val="24"/>
          <w:szCs w:val="24"/>
        </w:rPr>
        <w:t xml:space="preserve"> through June 30,</w:t>
      </w:r>
      <w:r w:rsidR="009420B9" w:rsidRPr="00C10B03">
        <w:rPr>
          <w:rFonts w:eastAsia="Calibri" w:cstheme="minorHAnsi"/>
          <w:sz w:val="24"/>
          <w:szCs w:val="24"/>
        </w:rPr>
        <w:t xml:space="preserve"> </w:t>
      </w:r>
      <w:r w:rsidR="003C5A7B" w:rsidRPr="00C10B03">
        <w:rPr>
          <w:rFonts w:eastAsia="Calibri" w:cstheme="minorHAnsi"/>
          <w:sz w:val="24"/>
          <w:szCs w:val="24"/>
        </w:rPr>
        <w:t>202</w:t>
      </w:r>
      <w:r w:rsidR="00614FE5" w:rsidRPr="00C10B03">
        <w:rPr>
          <w:rFonts w:eastAsia="Calibri" w:cstheme="minorHAnsi"/>
          <w:sz w:val="24"/>
          <w:szCs w:val="24"/>
        </w:rPr>
        <w:t>3</w:t>
      </w:r>
      <w:r w:rsidR="003C5A7B" w:rsidRPr="00C10B03">
        <w:rPr>
          <w:rFonts w:eastAsia="Calibri" w:cstheme="minorHAnsi"/>
          <w:sz w:val="24"/>
          <w:szCs w:val="24"/>
        </w:rPr>
        <w:t>) at an estimated $</w:t>
      </w:r>
      <w:r w:rsidR="004D0C13" w:rsidRPr="00C10B03">
        <w:rPr>
          <w:rFonts w:eastAsia="Calibri" w:cstheme="minorHAnsi"/>
          <w:sz w:val="24"/>
          <w:szCs w:val="24"/>
        </w:rPr>
        <w:t>4</w:t>
      </w:r>
      <w:r w:rsidR="00C10B03" w:rsidRPr="00C10B03">
        <w:rPr>
          <w:rFonts w:eastAsia="Calibri" w:cstheme="minorHAnsi"/>
          <w:sz w:val="24"/>
          <w:szCs w:val="24"/>
        </w:rPr>
        <w:t>67</w:t>
      </w:r>
      <w:r w:rsidR="004D0C13" w:rsidRPr="00C10B03">
        <w:rPr>
          <w:rFonts w:eastAsia="Calibri" w:cstheme="minorHAnsi"/>
          <w:sz w:val="24"/>
          <w:szCs w:val="24"/>
        </w:rPr>
        <w:t>,</w:t>
      </w:r>
      <w:r w:rsidR="00C10B03" w:rsidRPr="00C10B03">
        <w:rPr>
          <w:rFonts w:eastAsia="Calibri" w:cstheme="minorHAnsi"/>
          <w:sz w:val="24"/>
          <w:szCs w:val="24"/>
        </w:rPr>
        <w:t>580</w:t>
      </w:r>
      <w:r w:rsidR="003C5A7B" w:rsidRPr="00C10B03">
        <w:rPr>
          <w:rFonts w:eastAsia="Calibri" w:cstheme="minorHAnsi"/>
          <w:sz w:val="24"/>
          <w:szCs w:val="24"/>
        </w:rPr>
        <w:t xml:space="preserve"> which would leave </w:t>
      </w:r>
      <w:r w:rsidR="0098743A" w:rsidRPr="00C10B03">
        <w:rPr>
          <w:rFonts w:eastAsia="Calibri" w:cstheme="minorHAnsi"/>
          <w:sz w:val="24"/>
          <w:szCs w:val="24"/>
        </w:rPr>
        <w:t>an approximate</w:t>
      </w:r>
      <w:r w:rsidR="003C5A7B" w:rsidRPr="00C10B03">
        <w:rPr>
          <w:rFonts w:eastAsia="Calibri" w:cstheme="minorHAnsi"/>
          <w:sz w:val="24"/>
          <w:szCs w:val="24"/>
        </w:rPr>
        <w:t xml:space="preserve"> ending balance of $</w:t>
      </w:r>
      <w:r w:rsidR="004D0C13" w:rsidRPr="00C10B03">
        <w:rPr>
          <w:rFonts w:eastAsia="Calibri" w:cstheme="minorHAnsi"/>
          <w:sz w:val="24"/>
          <w:szCs w:val="24"/>
        </w:rPr>
        <w:t>2</w:t>
      </w:r>
      <w:r w:rsidR="00C10B03" w:rsidRPr="00C10B03">
        <w:rPr>
          <w:rFonts w:eastAsia="Calibri" w:cstheme="minorHAnsi"/>
          <w:sz w:val="24"/>
          <w:szCs w:val="24"/>
        </w:rPr>
        <w:t>3</w:t>
      </w:r>
      <w:r w:rsidR="004D0C13" w:rsidRPr="00C10B03">
        <w:rPr>
          <w:rFonts w:eastAsia="Calibri" w:cstheme="minorHAnsi"/>
          <w:sz w:val="24"/>
          <w:szCs w:val="24"/>
        </w:rPr>
        <w:t>,</w:t>
      </w:r>
      <w:r w:rsidR="00C10B03" w:rsidRPr="00C10B03">
        <w:rPr>
          <w:rFonts w:eastAsia="Calibri" w:cstheme="minorHAnsi"/>
          <w:sz w:val="24"/>
          <w:szCs w:val="24"/>
        </w:rPr>
        <w:t>117</w:t>
      </w:r>
      <w:r w:rsidR="003C5A7B" w:rsidRPr="00C10B03">
        <w:rPr>
          <w:rFonts w:eastAsia="Calibri" w:cstheme="minorHAnsi"/>
          <w:sz w:val="24"/>
          <w:szCs w:val="24"/>
        </w:rPr>
        <w:t xml:space="preserve"> on June 30, 202</w:t>
      </w:r>
      <w:r w:rsidR="00614FE5" w:rsidRPr="00C10B03">
        <w:rPr>
          <w:rFonts w:eastAsia="Calibri" w:cstheme="minorHAnsi"/>
          <w:sz w:val="24"/>
          <w:szCs w:val="24"/>
        </w:rPr>
        <w:t>3</w:t>
      </w:r>
      <w:r w:rsidR="003C5A7B" w:rsidRPr="00C10B03">
        <w:rPr>
          <w:rFonts w:eastAsia="Calibri" w:cstheme="minorHAnsi"/>
          <w:sz w:val="24"/>
          <w:szCs w:val="24"/>
        </w:rPr>
        <w:t xml:space="preserve">. </w:t>
      </w:r>
      <w:r w:rsidR="009420B9" w:rsidRPr="00C10B03">
        <w:rPr>
          <w:rFonts w:eastAsia="Calibri" w:cstheme="minorHAnsi"/>
          <w:sz w:val="24"/>
          <w:szCs w:val="24"/>
        </w:rPr>
        <w:t>Gaugler advised the Commission that the ending balance would likely rise as the Commission continues to have MS Teams virtual meeting</w:t>
      </w:r>
      <w:r w:rsidR="00BF5D45" w:rsidRPr="00C10B03">
        <w:rPr>
          <w:rFonts w:eastAsia="Calibri" w:cstheme="minorHAnsi"/>
          <w:sz w:val="24"/>
          <w:szCs w:val="24"/>
        </w:rPr>
        <w:t>s</w:t>
      </w:r>
      <w:r w:rsidR="009420B9" w:rsidRPr="00C10B03">
        <w:rPr>
          <w:rFonts w:eastAsia="Calibri" w:cstheme="minorHAnsi"/>
          <w:sz w:val="24"/>
          <w:szCs w:val="24"/>
        </w:rPr>
        <w:t xml:space="preserve"> rather than in-person meetings.</w:t>
      </w:r>
      <w:r w:rsidR="004D0C13" w:rsidRPr="00C10B03">
        <w:rPr>
          <w:rFonts w:eastAsia="Calibri" w:cstheme="minorHAnsi"/>
          <w:sz w:val="24"/>
          <w:szCs w:val="24"/>
        </w:rPr>
        <w:t xml:space="preserve"> </w:t>
      </w:r>
    </w:p>
    <w:p w14:paraId="5B7D8B3D" w14:textId="77777777" w:rsidR="00C10B03" w:rsidRPr="00C10B03" w:rsidRDefault="00C10B03" w:rsidP="00C10B03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627F6106" w14:textId="77777777" w:rsidR="003A3ADC" w:rsidRPr="00563183" w:rsidRDefault="00CA3AA9" w:rsidP="00A772E3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  <w:u w:val="single"/>
        </w:rPr>
        <w:t>Executive Director Thiele</w:t>
      </w:r>
      <w:r w:rsidR="00761950" w:rsidRPr="00563183">
        <w:rPr>
          <w:rFonts w:eastAsia="Calibri" w:cstheme="minorHAnsi"/>
          <w:sz w:val="24"/>
          <w:szCs w:val="24"/>
          <w:u w:val="single"/>
        </w:rPr>
        <w:t xml:space="preserve"> </w:t>
      </w:r>
      <w:r w:rsidR="00374A63" w:rsidRPr="00563183">
        <w:rPr>
          <w:rFonts w:eastAsia="Calibri" w:cstheme="minorHAnsi"/>
          <w:sz w:val="24"/>
          <w:szCs w:val="24"/>
          <w:u w:val="single"/>
        </w:rPr>
        <w:t>Update:</w:t>
      </w:r>
      <w:r w:rsidR="00374A63" w:rsidRPr="00563183">
        <w:rPr>
          <w:rFonts w:eastAsia="Calibri" w:cstheme="minorHAnsi"/>
          <w:sz w:val="24"/>
          <w:szCs w:val="24"/>
        </w:rPr>
        <w:t xml:space="preserve"> </w:t>
      </w:r>
      <w:r w:rsidR="003A3ADC" w:rsidRPr="00563183">
        <w:rPr>
          <w:rFonts w:eastAsia="Calibri" w:cstheme="minorHAnsi"/>
          <w:sz w:val="24"/>
          <w:szCs w:val="24"/>
        </w:rPr>
        <w:t xml:space="preserve"> </w:t>
      </w:r>
    </w:p>
    <w:p w14:paraId="4BBA0F4D" w14:textId="77777777" w:rsidR="003A3ADC" w:rsidRPr="00563183" w:rsidRDefault="003A3ADC" w:rsidP="003A3ADC">
      <w:pPr>
        <w:pStyle w:val="ListParagraph"/>
        <w:rPr>
          <w:rFonts w:eastAsia="Calibri" w:cstheme="minorHAnsi"/>
          <w:sz w:val="24"/>
          <w:szCs w:val="24"/>
        </w:rPr>
      </w:pPr>
    </w:p>
    <w:p w14:paraId="05B16E61" w14:textId="4E26D722" w:rsidR="00F37BAD" w:rsidRPr="00503723" w:rsidRDefault="005D0386" w:rsidP="007453E3">
      <w:pPr>
        <w:pStyle w:val="ListParagraph"/>
        <w:numPr>
          <w:ilvl w:val="0"/>
          <w:numId w:val="14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Continuing to review options for providing videos of meetings.</w:t>
      </w:r>
      <w:r w:rsidR="00613BEE">
        <w:rPr>
          <w:rFonts w:eastAsia="Calibri" w:cstheme="minorHAnsi"/>
          <w:sz w:val="24"/>
          <w:szCs w:val="24"/>
        </w:rPr>
        <w:t xml:space="preserve"> He discussed some options of providing meeting video but is still awaiting additional guidance on viable options.</w:t>
      </w:r>
      <w:r>
        <w:rPr>
          <w:rFonts w:eastAsia="Calibri" w:cstheme="minorHAnsi"/>
          <w:sz w:val="24"/>
          <w:szCs w:val="24"/>
        </w:rPr>
        <w:t xml:space="preserve"> </w:t>
      </w:r>
      <w:r w:rsidR="006B0350">
        <w:rPr>
          <w:rFonts w:eastAsia="Calibri" w:cstheme="minorHAnsi"/>
          <w:sz w:val="24"/>
          <w:szCs w:val="24"/>
        </w:rPr>
        <w:t xml:space="preserve">Current technology did not provide a good option for posting a transcript. </w:t>
      </w:r>
      <w:r>
        <w:rPr>
          <w:rFonts w:eastAsia="Calibri" w:cstheme="minorHAnsi"/>
          <w:sz w:val="24"/>
          <w:szCs w:val="24"/>
        </w:rPr>
        <w:t xml:space="preserve">A </w:t>
      </w:r>
      <w:r w:rsidR="006B0350">
        <w:rPr>
          <w:rFonts w:eastAsia="Calibri" w:cstheme="minorHAnsi"/>
          <w:sz w:val="24"/>
          <w:szCs w:val="24"/>
        </w:rPr>
        <w:t xml:space="preserve">final </w:t>
      </w:r>
      <w:r>
        <w:rPr>
          <w:rFonts w:eastAsia="Calibri" w:cstheme="minorHAnsi"/>
          <w:sz w:val="24"/>
          <w:szCs w:val="24"/>
        </w:rPr>
        <w:t>recommendation will be made at the February 23</w:t>
      </w:r>
      <w:r w:rsidRPr="005D0386">
        <w:rPr>
          <w:rFonts w:eastAsia="Calibri" w:cstheme="minorHAnsi"/>
          <w:sz w:val="24"/>
          <w:szCs w:val="24"/>
          <w:vertAlign w:val="superscript"/>
        </w:rPr>
        <w:t>rd</w:t>
      </w:r>
      <w:r>
        <w:rPr>
          <w:rFonts w:eastAsia="Calibri" w:cstheme="minorHAnsi"/>
          <w:sz w:val="24"/>
          <w:szCs w:val="24"/>
        </w:rPr>
        <w:t xml:space="preserve"> meeting.</w:t>
      </w:r>
    </w:p>
    <w:p w14:paraId="120420BB" w14:textId="214D21C2" w:rsidR="005D0386" w:rsidRPr="007453E3" w:rsidRDefault="005D0386" w:rsidP="007453E3">
      <w:pPr>
        <w:pStyle w:val="ListParagraph"/>
        <w:numPr>
          <w:ilvl w:val="0"/>
          <w:numId w:val="14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Thiele briefed the Commission on a recent complaint (#2021-009)</w:t>
      </w:r>
      <w:r w:rsidR="006B035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which was a complaint against the judiciary</w:t>
      </w:r>
      <w:r w:rsidR="00E9700A">
        <w:rPr>
          <w:rFonts w:eastAsia="Calibri" w:cstheme="minorHAnsi"/>
          <w:sz w:val="24"/>
          <w:szCs w:val="24"/>
        </w:rPr>
        <w:t>. Thiele reported that he had summarily dismissed the complaint as it was outside the jurisdiction of the Commission as it was a judicial complaint as well as the occurrence being outside the three</w:t>
      </w:r>
      <w:r w:rsidR="00753B94">
        <w:rPr>
          <w:rFonts w:eastAsia="Calibri" w:cstheme="minorHAnsi"/>
          <w:sz w:val="24"/>
          <w:szCs w:val="24"/>
        </w:rPr>
        <w:t>-</w:t>
      </w:r>
      <w:r w:rsidR="00E9700A">
        <w:rPr>
          <w:rFonts w:eastAsia="Calibri" w:cstheme="minorHAnsi"/>
          <w:sz w:val="24"/>
          <w:szCs w:val="24"/>
        </w:rPr>
        <w:t>year limitation. Thiele reported that an appeal had not been received as of this date</w:t>
      </w:r>
      <w:r w:rsidR="00044D37">
        <w:rPr>
          <w:rFonts w:eastAsia="Calibri" w:cstheme="minorHAnsi"/>
          <w:sz w:val="24"/>
          <w:szCs w:val="24"/>
        </w:rPr>
        <w:t xml:space="preserve"> but would keep the </w:t>
      </w:r>
      <w:r w:rsidR="00044D37">
        <w:rPr>
          <w:rFonts w:eastAsia="Calibri" w:cstheme="minorHAnsi"/>
          <w:sz w:val="24"/>
          <w:szCs w:val="24"/>
        </w:rPr>
        <w:lastRenderedPageBreak/>
        <w:t xml:space="preserve">Commission updated. The complaint </w:t>
      </w:r>
      <w:r w:rsidR="0032626D">
        <w:rPr>
          <w:rFonts w:eastAsia="Calibri" w:cstheme="minorHAnsi"/>
          <w:sz w:val="24"/>
          <w:szCs w:val="24"/>
        </w:rPr>
        <w:t>will</w:t>
      </w:r>
      <w:r w:rsidR="00044D37">
        <w:rPr>
          <w:rFonts w:eastAsia="Calibri" w:cstheme="minorHAnsi"/>
          <w:sz w:val="24"/>
          <w:szCs w:val="24"/>
        </w:rPr>
        <w:t xml:space="preserve"> not</w:t>
      </w:r>
      <w:r w:rsidR="0032626D">
        <w:rPr>
          <w:rFonts w:eastAsia="Calibri" w:cstheme="minorHAnsi"/>
          <w:sz w:val="24"/>
          <w:szCs w:val="24"/>
        </w:rPr>
        <w:t xml:space="preserve"> be</w:t>
      </w:r>
      <w:r w:rsidR="00044D37">
        <w:rPr>
          <w:rFonts w:eastAsia="Calibri" w:cstheme="minorHAnsi"/>
          <w:sz w:val="24"/>
          <w:szCs w:val="24"/>
        </w:rPr>
        <w:t xml:space="preserve"> closed until the appeal date limitation</w:t>
      </w:r>
      <w:r w:rsidR="00A435CB">
        <w:rPr>
          <w:rFonts w:eastAsia="Calibri" w:cstheme="minorHAnsi"/>
          <w:sz w:val="24"/>
          <w:szCs w:val="24"/>
        </w:rPr>
        <w:t xml:space="preserve"> has passed</w:t>
      </w:r>
      <w:r w:rsidR="00044D37">
        <w:rPr>
          <w:rFonts w:eastAsia="Calibri" w:cstheme="minorHAnsi"/>
          <w:sz w:val="24"/>
          <w:szCs w:val="24"/>
        </w:rPr>
        <w:t>.</w:t>
      </w:r>
    </w:p>
    <w:p w14:paraId="56206A34" w14:textId="2B3CDD82" w:rsidR="005D0386" w:rsidRDefault="00044D37" w:rsidP="003A3ADC">
      <w:pPr>
        <w:pStyle w:val="ListParagraph"/>
        <w:numPr>
          <w:ilvl w:val="0"/>
          <w:numId w:val="14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The code of ethics annual review has been completed</w:t>
      </w:r>
      <w:r w:rsidR="00753B94">
        <w:rPr>
          <w:rFonts w:eastAsia="Calibri" w:cstheme="minorHAnsi"/>
          <w:sz w:val="24"/>
          <w:szCs w:val="24"/>
        </w:rPr>
        <w:t xml:space="preserve"> by all Commissioners</w:t>
      </w:r>
      <w:r w:rsidR="00AA359A">
        <w:rPr>
          <w:rFonts w:eastAsia="Calibri" w:cstheme="minorHAnsi"/>
          <w:sz w:val="24"/>
          <w:szCs w:val="24"/>
        </w:rPr>
        <w:t>. Thiele</w:t>
      </w:r>
      <w:r w:rsidR="00753B94">
        <w:rPr>
          <w:rFonts w:eastAsia="Calibri" w:cstheme="minorHAnsi"/>
          <w:sz w:val="24"/>
          <w:szCs w:val="24"/>
        </w:rPr>
        <w:t xml:space="preserve"> recommended that the Commission discuss term limits for the chair and vice chair positions at the February meeting.</w:t>
      </w:r>
    </w:p>
    <w:p w14:paraId="6BBA6969" w14:textId="19A8A3F4" w:rsidR="005D0386" w:rsidRPr="00270D56" w:rsidRDefault="00AA359A" w:rsidP="00270D56">
      <w:pPr>
        <w:pStyle w:val="ListParagraph"/>
        <w:numPr>
          <w:ilvl w:val="0"/>
          <w:numId w:val="14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Thiele reported that the Commission received a letter from </w:t>
      </w:r>
      <w:r w:rsidR="006B0350">
        <w:rPr>
          <w:rFonts w:eastAsia="Calibri" w:cstheme="minorHAnsi"/>
          <w:sz w:val="24"/>
          <w:szCs w:val="24"/>
        </w:rPr>
        <w:t xml:space="preserve">the </w:t>
      </w:r>
      <w:r>
        <w:rPr>
          <w:rFonts w:eastAsia="Calibri" w:cstheme="minorHAnsi"/>
          <w:sz w:val="24"/>
          <w:szCs w:val="24"/>
        </w:rPr>
        <w:t xml:space="preserve">North Dakota Citizens for Public Integrity (NDPI) in response to the most recent draft of the Commission’s Conflict of Interest rule </w:t>
      </w:r>
      <w:r w:rsidR="00EC0D11">
        <w:rPr>
          <w:rFonts w:eastAsia="Calibri" w:cstheme="minorHAnsi"/>
          <w:sz w:val="24"/>
          <w:szCs w:val="24"/>
        </w:rPr>
        <w:t xml:space="preserve">and </w:t>
      </w:r>
      <w:r>
        <w:rPr>
          <w:rFonts w:eastAsia="Calibri" w:cstheme="minorHAnsi"/>
          <w:sz w:val="24"/>
          <w:szCs w:val="24"/>
        </w:rPr>
        <w:t>has been received and reviewed by all Commissioners</w:t>
      </w:r>
      <w:r w:rsidR="00A435CB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</w:t>
      </w:r>
      <w:r w:rsidR="00EC0D11">
        <w:rPr>
          <w:rFonts w:eastAsia="Calibri" w:cstheme="minorHAnsi"/>
          <w:sz w:val="24"/>
          <w:szCs w:val="24"/>
        </w:rPr>
        <w:t>He also noted that any questions would be addressed as agenda item</w:t>
      </w:r>
      <w:r w:rsidR="00A435CB">
        <w:rPr>
          <w:rFonts w:eastAsia="Calibri" w:cstheme="minorHAnsi"/>
          <w:sz w:val="24"/>
          <w:szCs w:val="24"/>
        </w:rPr>
        <w:t>s</w:t>
      </w:r>
      <w:r w:rsidR="00EC0D11">
        <w:rPr>
          <w:rFonts w:eastAsia="Calibri" w:cstheme="minorHAnsi"/>
          <w:sz w:val="24"/>
          <w:szCs w:val="24"/>
        </w:rPr>
        <w:t xml:space="preserve"> at the February meeting and would continue to be reviewed as </w:t>
      </w:r>
      <w:proofErr w:type="gramStart"/>
      <w:r w:rsidR="004E794D">
        <w:rPr>
          <w:rFonts w:eastAsia="Calibri" w:cstheme="minorHAnsi"/>
          <w:sz w:val="24"/>
          <w:szCs w:val="24"/>
        </w:rPr>
        <w:t>c</w:t>
      </w:r>
      <w:r w:rsidR="00EC0D11">
        <w:rPr>
          <w:rFonts w:eastAsia="Calibri" w:cstheme="minorHAnsi"/>
          <w:sz w:val="24"/>
          <w:szCs w:val="24"/>
        </w:rPr>
        <w:t>onflict</w:t>
      </w:r>
      <w:r w:rsidR="00DD48C8">
        <w:rPr>
          <w:rFonts w:eastAsia="Calibri" w:cstheme="minorHAnsi"/>
          <w:sz w:val="24"/>
          <w:szCs w:val="24"/>
        </w:rPr>
        <w:t xml:space="preserve"> </w:t>
      </w:r>
      <w:r w:rsidR="00EC0D11">
        <w:rPr>
          <w:rFonts w:eastAsia="Calibri" w:cstheme="minorHAnsi"/>
          <w:sz w:val="24"/>
          <w:szCs w:val="24"/>
        </w:rPr>
        <w:t xml:space="preserve">of </w:t>
      </w:r>
      <w:r w:rsidR="004E794D">
        <w:rPr>
          <w:rFonts w:eastAsia="Calibri" w:cstheme="minorHAnsi"/>
          <w:sz w:val="24"/>
          <w:szCs w:val="24"/>
        </w:rPr>
        <w:t>i</w:t>
      </w:r>
      <w:r w:rsidR="00EC0D11">
        <w:rPr>
          <w:rFonts w:eastAsia="Calibri" w:cstheme="minorHAnsi"/>
          <w:sz w:val="24"/>
          <w:szCs w:val="24"/>
        </w:rPr>
        <w:t>nterest</w:t>
      </w:r>
      <w:proofErr w:type="gramEnd"/>
      <w:r w:rsidR="00EC0D11">
        <w:rPr>
          <w:rFonts w:eastAsia="Calibri" w:cstheme="minorHAnsi"/>
          <w:sz w:val="24"/>
          <w:szCs w:val="24"/>
        </w:rPr>
        <w:t xml:space="preserve"> rules are addressed.</w:t>
      </w:r>
    </w:p>
    <w:p w14:paraId="10E5624D" w14:textId="1A8B2DDA" w:rsidR="00CE7E91" w:rsidRPr="00F1583E" w:rsidRDefault="00195375" w:rsidP="00F1583E">
      <w:pPr>
        <w:pStyle w:val="ListParagraph"/>
        <w:numPr>
          <w:ilvl w:val="0"/>
          <w:numId w:val="14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Thiele discussed the current </w:t>
      </w:r>
      <w:r w:rsidR="00A42888" w:rsidRPr="00563183">
        <w:rPr>
          <w:rFonts w:eastAsia="Calibri" w:cstheme="minorHAnsi"/>
          <w:sz w:val="24"/>
          <w:szCs w:val="24"/>
        </w:rPr>
        <w:t>audit of the ND Ethics Commission being conducted by the ND State Auditor</w:t>
      </w:r>
      <w:r w:rsidR="00BA4D62">
        <w:rPr>
          <w:rFonts w:eastAsia="Calibri" w:cstheme="minorHAnsi"/>
          <w:sz w:val="24"/>
          <w:szCs w:val="24"/>
        </w:rPr>
        <w:t>’</w:t>
      </w:r>
      <w:r w:rsidR="00A42888" w:rsidRPr="00563183">
        <w:rPr>
          <w:rFonts w:eastAsia="Calibri" w:cstheme="minorHAnsi"/>
          <w:sz w:val="24"/>
          <w:szCs w:val="24"/>
        </w:rPr>
        <w:t xml:space="preserve">s Office. </w:t>
      </w:r>
      <w:r w:rsidR="00270D56">
        <w:rPr>
          <w:rFonts w:eastAsia="Calibri" w:cstheme="minorHAnsi"/>
          <w:sz w:val="24"/>
          <w:szCs w:val="24"/>
        </w:rPr>
        <w:t>He reported that the auditors would be holding an exit conference on January 27</w:t>
      </w:r>
      <w:r w:rsidR="00270D56" w:rsidRPr="00270D56">
        <w:rPr>
          <w:rFonts w:eastAsia="Calibri" w:cstheme="minorHAnsi"/>
          <w:sz w:val="24"/>
          <w:szCs w:val="24"/>
          <w:vertAlign w:val="superscript"/>
        </w:rPr>
        <w:t>th</w:t>
      </w:r>
      <w:r w:rsidR="00270D56">
        <w:rPr>
          <w:rFonts w:eastAsia="Calibri" w:cstheme="minorHAnsi"/>
          <w:sz w:val="24"/>
          <w:szCs w:val="24"/>
        </w:rPr>
        <w:t xml:space="preserve"> but did not anticipate any formal audit findings.</w:t>
      </w:r>
    </w:p>
    <w:p w14:paraId="2737A6FB" w14:textId="3F0726D4" w:rsidR="00A1145B" w:rsidRPr="00BD2D04" w:rsidRDefault="00F1583E" w:rsidP="00622992">
      <w:pPr>
        <w:pStyle w:val="ListParagraph"/>
        <w:numPr>
          <w:ilvl w:val="0"/>
          <w:numId w:val="15"/>
        </w:numPr>
        <w:ind w:right="83"/>
        <w:jc w:val="both"/>
        <w:rPr>
          <w:rFonts w:cstheme="minorHAnsi"/>
          <w:sz w:val="24"/>
          <w:szCs w:val="24"/>
        </w:rPr>
      </w:pPr>
      <w:r w:rsidRPr="00BD2D04">
        <w:rPr>
          <w:rFonts w:eastAsia="Calibri" w:cstheme="minorHAnsi"/>
          <w:sz w:val="24"/>
          <w:szCs w:val="24"/>
        </w:rPr>
        <w:t xml:space="preserve">Thiele </w:t>
      </w:r>
      <w:r w:rsidR="00507467" w:rsidRPr="00BD2D04">
        <w:rPr>
          <w:rFonts w:eastAsia="Calibri" w:cstheme="minorHAnsi"/>
          <w:sz w:val="24"/>
          <w:szCs w:val="24"/>
        </w:rPr>
        <w:t xml:space="preserve">reminded the Commission on </w:t>
      </w:r>
      <w:r w:rsidRPr="00BD2D04">
        <w:rPr>
          <w:rFonts w:eastAsia="Calibri" w:cstheme="minorHAnsi"/>
          <w:sz w:val="24"/>
          <w:szCs w:val="24"/>
        </w:rPr>
        <w:t xml:space="preserve">the upcoming Campaign Legal Center </w:t>
      </w:r>
      <w:r w:rsidR="002A0085">
        <w:rPr>
          <w:rFonts w:eastAsia="Calibri" w:cstheme="minorHAnsi"/>
          <w:sz w:val="24"/>
          <w:szCs w:val="24"/>
        </w:rPr>
        <w:t xml:space="preserve">virtual </w:t>
      </w:r>
      <w:r w:rsidRPr="00BD2D04">
        <w:rPr>
          <w:rFonts w:eastAsia="Calibri" w:cstheme="minorHAnsi"/>
          <w:sz w:val="24"/>
          <w:szCs w:val="24"/>
        </w:rPr>
        <w:t xml:space="preserve">presentation on “How </w:t>
      </w:r>
      <w:proofErr w:type="gramStart"/>
      <w:r w:rsidRPr="00BD2D04">
        <w:rPr>
          <w:rFonts w:eastAsia="Calibri" w:cstheme="minorHAnsi"/>
          <w:sz w:val="24"/>
          <w:szCs w:val="24"/>
        </w:rPr>
        <w:t>To</w:t>
      </w:r>
      <w:proofErr w:type="gramEnd"/>
      <w:r w:rsidRPr="00BD2D04">
        <w:rPr>
          <w:rFonts w:eastAsia="Calibri" w:cstheme="minorHAnsi"/>
          <w:sz w:val="24"/>
          <w:szCs w:val="24"/>
        </w:rPr>
        <w:t xml:space="preserve"> Make Ethics Commissions More Transparent Accessible and Accountable” on January 27</w:t>
      </w:r>
      <w:r w:rsidRPr="00BD2D04">
        <w:rPr>
          <w:rFonts w:eastAsia="Calibri" w:cstheme="minorHAnsi"/>
          <w:sz w:val="24"/>
          <w:szCs w:val="24"/>
          <w:vertAlign w:val="superscript"/>
        </w:rPr>
        <w:t>th</w:t>
      </w:r>
      <w:r w:rsidRPr="00BD2D04">
        <w:rPr>
          <w:rFonts w:eastAsia="Calibri" w:cstheme="minorHAnsi"/>
          <w:sz w:val="24"/>
          <w:szCs w:val="24"/>
        </w:rPr>
        <w:t xml:space="preserve"> at 12:00 pm.</w:t>
      </w:r>
    </w:p>
    <w:p w14:paraId="583D1FBE" w14:textId="69E62CDE" w:rsidR="00ED5530" w:rsidRPr="00DC2018" w:rsidRDefault="00CB610A" w:rsidP="00C64B9F">
      <w:pPr>
        <w:pStyle w:val="ListParagraph"/>
        <w:numPr>
          <w:ilvl w:val="0"/>
          <w:numId w:val="15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F35A9E">
        <w:rPr>
          <w:rFonts w:eastAsia="Calibri" w:cstheme="minorHAnsi"/>
          <w:sz w:val="24"/>
          <w:szCs w:val="24"/>
        </w:rPr>
        <w:t xml:space="preserve">Thiele </w:t>
      </w:r>
      <w:r w:rsidR="003C2896" w:rsidRPr="00F35A9E">
        <w:rPr>
          <w:rFonts w:eastAsia="Calibri" w:cstheme="minorHAnsi"/>
          <w:sz w:val="24"/>
          <w:szCs w:val="24"/>
        </w:rPr>
        <w:t>discussed a</w:t>
      </w:r>
      <w:r w:rsidRPr="00F35A9E">
        <w:rPr>
          <w:rFonts w:eastAsia="Calibri" w:cstheme="minorHAnsi"/>
          <w:sz w:val="24"/>
          <w:szCs w:val="24"/>
        </w:rPr>
        <w:t xml:space="preserve"> letter from Mr. S</w:t>
      </w:r>
      <w:r w:rsidR="00264C79" w:rsidRPr="00F35A9E">
        <w:rPr>
          <w:rFonts w:eastAsia="Calibri" w:cstheme="minorHAnsi"/>
          <w:sz w:val="24"/>
          <w:szCs w:val="24"/>
        </w:rPr>
        <w:t>k</w:t>
      </w:r>
      <w:r w:rsidRPr="00F35A9E">
        <w:rPr>
          <w:rFonts w:eastAsia="Calibri" w:cstheme="minorHAnsi"/>
          <w:sz w:val="24"/>
          <w:szCs w:val="24"/>
        </w:rPr>
        <w:t>okos</w:t>
      </w:r>
      <w:r w:rsidR="00A1145B" w:rsidRPr="00F35A9E">
        <w:rPr>
          <w:rFonts w:eastAsia="Calibri" w:cstheme="minorHAnsi"/>
          <w:sz w:val="24"/>
          <w:szCs w:val="24"/>
        </w:rPr>
        <w:t xml:space="preserve"> </w:t>
      </w:r>
      <w:r w:rsidR="00264C79" w:rsidRPr="00F35A9E">
        <w:rPr>
          <w:rFonts w:eastAsia="Calibri" w:cstheme="minorHAnsi"/>
          <w:sz w:val="24"/>
          <w:szCs w:val="24"/>
        </w:rPr>
        <w:t xml:space="preserve">with the Dakota Resource Council, </w:t>
      </w:r>
      <w:r w:rsidR="00A1145B" w:rsidRPr="00F35A9E">
        <w:rPr>
          <w:rFonts w:eastAsia="Calibri" w:cstheme="minorHAnsi"/>
          <w:sz w:val="24"/>
          <w:szCs w:val="24"/>
        </w:rPr>
        <w:t xml:space="preserve">received December 20, </w:t>
      </w:r>
      <w:proofErr w:type="gramStart"/>
      <w:r w:rsidR="00A1145B" w:rsidRPr="00F35A9E">
        <w:rPr>
          <w:rFonts w:eastAsia="Calibri" w:cstheme="minorHAnsi"/>
          <w:sz w:val="24"/>
          <w:szCs w:val="24"/>
        </w:rPr>
        <w:t>2021</w:t>
      </w:r>
      <w:proofErr w:type="gramEnd"/>
      <w:r w:rsidR="00264C79" w:rsidRPr="00F35A9E">
        <w:rPr>
          <w:rFonts w:eastAsia="Calibri" w:cstheme="minorHAnsi"/>
          <w:sz w:val="24"/>
          <w:szCs w:val="24"/>
        </w:rPr>
        <w:t xml:space="preserve"> regarding</w:t>
      </w:r>
      <w:r w:rsidR="00995B6A">
        <w:rPr>
          <w:rFonts w:eastAsia="Calibri" w:cstheme="minorHAnsi"/>
          <w:sz w:val="24"/>
          <w:szCs w:val="24"/>
        </w:rPr>
        <w:t xml:space="preserve"> </w:t>
      </w:r>
      <w:r w:rsidR="00264C79">
        <w:rPr>
          <w:rFonts w:eastAsia="Calibri" w:cstheme="minorHAnsi"/>
          <w:sz w:val="24"/>
          <w:szCs w:val="24"/>
        </w:rPr>
        <w:t>the December 15, 2021 meeting of the Clean Sustainable Energy Authority (CSEA).</w:t>
      </w:r>
      <w:r w:rsidR="003C2896">
        <w:rPr>
          <w:rFonts w:eastAsia="Calibri" w:cstheme="minorHAnsi"/>
          <w:sz w:val="24"/>
          <w:szCs w:val="24"/>
        </w:rPr>
        <w:t xml:space="preserve"> The letter was not a formal complaint but did state that Mr. Skokos believed decisions on grant awards by CSEA did present a</w:t>
      </w:r>
      <w:r w:rsidR="00BD2D04">
        <w:rPr>
          <w:rFonts w:eastAsia="Calibri" w:cstheme="minorHAnsi"/>
          <w:sz w:val="24"/>
          <w:szCs w:val="24"/>
        </w:rPr>
        <w:t xml:space="preserve"> conflict for those members providing grants. The Commission discussed the challenges of establishing conflict of interest rules for the private sector</w:t>
      </w:r>
      <w:r w:rsidR="00460EB7">
        <w:rPr>
          <w:rFonts w:eastAsia="Calibri" w:cstheme="minorHAnsi"/>
          <w:sz w:val="24"/>
          <w:szCs w:val="24"/>
        </w:rPr>
        <w:t xml:space="preserve"> and will welcome public input as the Commission proceeds with the rule. Thiele also encouraged</w:t>
      </w:r>
      <w:r w:rsidR="00DA5808">
        <w:rPr>
          <w:rFonts w:eastAsia="Calibri" w:cstheme="minorHAnsi"/>
          <w:sz w:val="24"/>
          <w:szCs w:val="24"/>
        </w:rPr>
        <w:t xml:space="preserve"> written</w:t>
      </w:r>
      <w:r w:rsidR="00460EB7">
        <w:rPr>
          <w:rFonts w:eastAsia="Calibri" w:cstheme="minorHAnsi"/>
          <w:sz w:val="24"/>
          <w:szCs w:val="24"/>
        </w:rPr>
        <w:t xml:space="preserve"> public comment before the February 23</w:t>
      </w:r>
      <w:r w:rsidR="00460EB7" w:rsidRPr="00460EB7">
        <w:rPr>
          <w:rFonts w:eastAsia="Calibri" w:cstheme="minorHAnsi"/>
          <w:sz w:val="24"/>
          <w:szCs w:val="24"/>
          <w:vertAlign w:val="superscript"/>
        </w:rPr>
        <w:t>rd</w:t>
      </w:r>
      <w:r w:rsidR="00460EB7">
        <w:rPr>
          <w:rFonts w:eastAsia="Calibri" w:cstheme="minorHAnsi"/>
          <w:sz w:val="24"/>
          <w:szCs w:val="24"/>
        </w:rPr>
        <w:t xml:space="preserve"> meeting</w:t>
      </w:r>
      <w:r w:rsidR="00DA5808">
        <w:rPr>
          <w:rFonts w:eastAsia="Calibri" w:cstheme="minorHAnsi"/>
          <w:sz w:val="24"/>
          <w:szCs w:val="24"/>
        </w:rPr>
        <w:t xml:space="preserve"> and </w:t>
      </w:r>
      <w:r w:rsidR="005E6ADD">
        <w:rPr>
          <w:rFonts w:eastAsia="Calibri" w:cstheme="minorHAnsi"/>
          <w:sz w:val="24"/>
          <w:szCs w:val="24"/>
        </w:rPr>
        <w:t>allowing public comment during the meeting</w:t>
      </w:r>
      <w:r w:rsidR="00DA5808">
        <w:rPr>
          <w:rFonts w:eastAsia="Calibri" w:cstheme="minorHAnsi"/>
          <w:sz w:val="24"/>
          <w:szCs w:val="24"/>
        </w:rPr>
        <w:t xml:space="preserve">. Information will be posted to </w:t>
      </w:r>
      <w:r w:rsidR="005E6ADD">
        <w:rPr>
          <w:rFonts w:eastAsia="Calibri" w:cstheme="minorHAnsi"/>
          <w:sz w:val="24"/>
          <w:szCs w:val="24"/>
        </w:rPr>
        <w:t>the</w:t>
      </w:r>
      <w:r w:rsidR="00DA5808">
        <w:rPr>
          <w:rFonts w:eastAsia="Calibri" w:cstheme="minorHAnsi"/>
          <w:sz w:val="24"/>
          <w:szCs w:val="24"/>
        </w:rPr>
        <w:t xml:space="preserve"> website for written submittal of comments </w:t>
      </w:r>
      <w:proofErr w:type="gramStart"/>
      <w:r w:rsidR="00DA5808">
        <w:rPr>
          <w:rFonts w:eastAsia="Calibri" w:cstheme="minorHAnsi"/>
          <w:sz w:val="24"/>
          <w:szCs w:val="24"/>
        </w:rPr>
        <w:t>and also</w:t>
      </w:r>
      <w:proofErr w:type="gramEnd"/>
      <w:r w:rsidR="00DA5808">
        <w:rPr>
          <w:rFonts w:eastAsia="Calibri" w:cstheme="minorHAnsi"/>
          <w:sz w:val="24"/>
          <w:szCs w:val="24"/>
        </w:rPr>
        <w:t xml:space="preserve"> to arrange a time to present during the </w:t>
      </w:r>
      <w:r w:rsidR="006B0350">
        <w:rPr>
          <w:rFonts w:eastAsia="Calibri" w:cstheme="minorHAnsi"/>
          <w:sz w:val="24"/>
          <w:szCs w:val="24"/>
        </w:rPr>
        <w:t xml:space="preserve">February </w:t>
      </w:r>
      <w:r w:rsidR="00DA5808">
        <w:rPr>
          <w:rFonts w:eastAsia="Calibri" w:cstheme="minorHAnsi"/>
          <w:sz w:val="24"/>
          <w:szCs w:val="24"/>
        </w:rPr>
        <w:t>meeting</w:t>
      </w:r>
      <w:r w:rsidR="00F35A9E">
        <w:rPr>
          <w:rFonts w:eastAsia="Calibri" w:cstheme="minorHAnsi"/>
          <w:sz w:val="24"/>
          <w:szCs w:val="24"/>
        </w:rPr>
        <w:t>.</w:t>
      </w:r>
    </w:p>
    <w:p w14:paraId="11A62DF3" w14:textId="77777777" w:rsidR="00AD5672" w:rsidRPr="00563183" w:rsidRDefault="00AD5672" w:rsidP="00AD5672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7FFA1914" w14:textId="6F8F3BEF" w:rsidR="008D2DF2" w:rsidRPr="00CB6DEB" w:rsidRDefault="00FC5153" w:rsidP="008D2DF2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FC5153">
        <w:rPr>
          <w:rFonts w:eastAsia="Calibri" w:cstheme="minorHAnsi"/>
          <w:sz w:val="24"/>
          <w:szCs w:val="24"/>
          <w:u w:val="single"/>
        </w:rPr>
        <w:t>One-Page Strategy Review:</w:t>
      </w:r>
      <w:r>
        <w:rPr>
          <w:rFonts w:eastAsia="Calibri" w:cstheme="minorHAnsi"/>
          <w:sz w:val="24"/>
          <w:szCs w:val="24"/>
        </w:rPr>
        <w:t xml:space="preserve"> </w:t>
      </w:r>
      <w:r w:rsidR="00C64B9F" w:rsidRPr="00CB6DEB">
        <w:rPr>
          <w:rFonts w:eastAsia="Calibri" w:cstheme="minorHAnsi"/>
          <w:sz w:val="24"/>
          <w:szCs w:val="24"/>
        </w:rPr>
        <w:t>The Commission discussed the one-page strategy review document</w:t>
      </w:r>
      <w:r w:rsidR="002C67E5" w:rsidRPr="00CB6DEB">
        <w:rPr>
          <w:rFonts w:eastAsia="Calibri" w:cstheme="minorHAnsi"/>
          <w:sz w:val="24"/>
          <w:szCs w:val="24"/>
        </w:rPr>
        <w:t xml:space="preserve"> </w:t>
      </w:r>
      <w:r w:rsidR="00D43FC1" w:rsidRPr="00CB6DEB">
        <w:rPr>
          <w:rFonts w:eastAsia="Calibri" w:cstheme="minorHAnsi"/>
          <w:sz w:val="24"/>
          <w:szCs w:val="24"/>
        </w:rPr>
        <w:t>that was submitted to Office of Management and Budget (OMB) on January 10</w:t>
      </w:r>
      <w:r w:rsidR="00D43FC1" w:rsidRPr="00CB6DEB">
        <w:rPr>
          <w:rFonts w:eastAsia="Calibri" w:cstheme="minorHAnsi"/>
          <w:sz w:val="24"/>
          <w:szCs w:val="24"/>
          <w:vertAlign w:val="superscript"/>
        </w:rPr>
        <w:t>th</w:t>
      </w:r>
      <w:r w:rsidR="00D43FC1" w:rsidRPr="00CB6DEB">
        <w:rPr>
          <w:rFonts w:eastAsia="Calibri" w:cstheme="minorHAnsi"/>
          <w:sz w:val="24"/>
          <w:szCs w:val="24"/>
        </w:rPr>
        <w:t xml:space="preserve"> as the first step document in the review of the Commission’s strategic plan with the Governor scheduled for March 1, 2022. Vice Chair Lindquist asked </w:t>
      </w:r>
      <w:r w:rsidR="00AA411F" w:rsidRPr="00CB6DEB">
        <w:rPr>
          <w:rFonts w:eastAsia="Calibri" w:cstheme="minorHAnsi"/>
          <w:sz w:val="24"/>
          <w:szCs w:val="24"/>
        </w:rPr>
        <w:t xml:space="preserve">that minor </w:t>
      </w:r>
      <w:r w:rsidR="00CB6DEB" w:rsidRPr="00CB6DEB">
        <w:rPr>
          <w:rFonts w:eastAsia="Calibri" w:cstheme="minorHAnsi"/>
          <w:sz w:val="24"/>
          <w:szCs w:val="24"/>
        </w:rPr>
        <w:t xml:space="preserve">language </w:t>
      </w:r>
      <w:r w:rsidR="00AA411F" w:rsidRPr="00CB6DEB">
        <w:rPr>
          <w:rFonts w:eastAsia="Calibri" w:cstheme="minorHAnsi"/>
          <w:sz w:val="24"/>
          <w:szCs w:val="24"/>
        </w:rPr>
        <w:t xml:space="preserve">changes </w:t>
      </w:r>
      <w:r w:rsidR="00CB6DEB" w:rsidRPr="00CB6DEB">
        <w:rPr>
          <w:rFonts w:eastAsia="Calibri" w:cstheme="minorHAnsi"/>
          <w:sz w:val="24"/>
          <w:szCs w:val="24"/>
        </w:rPr>
        <w:t>be made. The Commission agreed and Executive Director Thiele said changes would be made and a revised document would be submitted to OMB.</w:t>
      </w:r>
    </w:p>
    <w:p w14:paraId="794B5D29" w14:textId="36868010" w:rsidR="004A719C" w:rsidRDefault="004A719C" w:rsidP="00427686">
      <w:pPr>
        <w:pStyle w:val="ListParagraph"/>
        <w:tabs>
          <w:tab w:val="left" w:pos="540"/>
        </w:tabs>
        <w:ind w:left="360" w:right="180" w:hanging="360"/>
        <w:jc w:val="both"/>
        <w:rPr>
          <w:rFonts w:eastAsia="Calibri" w:cstheme="minorHAnsi"/>
          <w:sz w:val="24"/>
          <w:szCs w:val="24"/>
        </w:rPr>
      </w:pPr>
    </w:p>
    <w:p w14:paraId="60EBC63E" w14:textId="3E439CB9" w:rsidR="00207B4F" w:rsidRPr="00563183" w:rsidRDefault="00A732A2" w:rsidP="004A719C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</w:p>
    <w:p w14:paraId="2625A104" w14:textId="798AF6F7" w:rsidR="00FE7DDC" w:rsidRDefault="00A575FD" w:rsidP="006F6DA8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E44068">
        <w:rPr>
          <w:rFonts w:eastAsia="Calibri" w:cstheme="minorHAnsi"/>
          <w:sz w:val="24"/>
          <w:szCs w:val="24"/>
          <w:u w:val="single"/>
        </w:rPr>
        <w:t>Conflict of Interest Rule Discussion:</w:t>
      </w:r>
      <w:r>
        <w:rPr>
          <w:rFonts w:eastAsia="Calibri" w:cstheme="minorHAnsi"/>
          <w:sz w:val="24"/>
          <w:szCs w:val="24"/>
        </w:rPr>
        <w:t xml:space="preserve"> </w:t>
      </w:r>
      <w:r w:rsidR="003F0B63">
        <w:rPr>
          <w:rFonts w:eastAsia="Calibri" w:cstheme="minorHAnsi"/>
          <w:sz w:val="24"/>
          <w:szCs w:val="24"/>
        </w:rPr>
        <w:t xml:space="preserve"> The Commission</w:t>
      </w:r>
      <w:r w:rsidR="00302959">
        <w:rPr>
          <w:rFonts w:eastAsia="Calibri" w:cstheme="minorHAnsi"/>
          <w:sz w:val="24"/>
          <w:szCs w:val="24"/>
        </w:rPr>
        <w:t>, led by Commissioner Richard,</w:t>
      </w:r>
      <w:r w:rsidR="003F0B63">
        <w:rPr>
          <w:rFonts w:eastAsia="Calibri" w:cstheme="minorHAnsi"/>
          <w:sz w:val="24"/>
          <w:szCs w:val="24"/>
        </w:rPr>
        <w:t xml:space="preserve"> </w:t>
      </w:r>
      <w:proofErr w:type="gramStart"/>
      <w:r w:rsidR="003F0B63">
        <w:rPr>
          <w:rFonts w:eastAsia="Calibri" w:cstheme="minorHAnsi"/>
          <w:sz w:val="24"/>
          <w:szCs w:val="24"/>
        </w:rPr>
        <w:t>reviewed</w:t>
      </w:r>
      <w:proofErr w:type="gramEnd"/>
      <w:r w:rsidR="003F0B63">
        <w:rPr>
          <w:rFonts w:eastAsia="Calibri" w:cstheme="minorHAnsi"/>
          <w:sz w:val="24"/>
          <w:szCs w:val="24"/>
        </w:rPr>
        <w:t xml:space="preserve"> </w:t>
      </w:r>
      <w:r w:rsidR="00302959">
        <w:rPr>
          <w:rFonts w:eastAsia="Calibri" w:cstheme="minorHAnsi"/>
          <w:sz w:val="24"/>
          <w:szCs w:val="24"/>
        </w:rPr>
        <w:t xml:space="preserve">and discussed </w:t>
      </w:r>
      <w:r w:rsidR="003F0B63">
        <w:rPr>
          <w:rFonts w:eastAsia="Calibri" w:cstheme="minorHAnsi"/>
          <w:sz w:val="24"/>
          <w:szCs w:val="24"/>
        </w:rPr>
        <w:t>the current conflict of interest rule draft.</w:t>
      </w:r>
      <w:r w:rsidR="007B14DA">
        <w:rPr>
          <w:rFonts w:eastAsia="Calibri" w:cstheme="minorHAnsi"/>
          <w:sz w:val="24"/>
          <w:szCs w:val="24"/>
        </w:rPr>
        <w:t xml:space="preserve"> He provided a background </w:t>
      </w:r>
      <w:r w:rsidR="00F81D56">
        <w:rPr>
          <w:rFonts w:eastAsia="Calibri" w:cstheme="minorHAnsi"/>
          <w:sz w:val="24"/>
          <w:szCs w:val="24"/>
        </w:rPr>
        <w:t>on the</w:t>
      </w:r>
      <w:r w:rsidR="007B14DA">
        <w:rPr>
          <w:rFonts w:eastAsia="Calibri" w:cstheme="minorHAnsi"/>
          <w:sz w:val="24"/>
          <w:szCs w:val="24"/>
        </w:rPr>
        <w:t xml:space="preserve"> changes that were made to the draft since the December 15, </w:t>
      </w:r>
      <w:proofErr w:type="gramStart"/>
      <w:r w:rsidR="007B14DA">
        <w:rPr>
          <w:rFonts w:eastAsia="Calibri" w:cstheme="minorHAnsi"/>
          <w:sz w:val="24"/>
          <w:szCs w:val="24"/>
        </w:rPr>
        <w:t>2021</w:t>
      </w:r>
      <w:proofErr w:type="gramEnd"/>
      <w:r w:rsidR="007B14DA">
        <w:rPr>
          <w:rFonts w:eastAsia="Calibri" w:cstheme="minorHAnsi"/>
          <w:sz w:val="24"/>
          <w:szCs w:val="24"/>
        </w:rPr>
        <w:t xml:space="preserve"> meeting.</w:t>
      </w:r>
      <w:r w:rsidR="00781B53">
        <w:rPr>
          <w:rFonts w:eastAsia="Calibri" w:cstheme="minorHAnsi"/>
          <w:sz w:val="24"/>
          <w:szCs w:val="24"/>
        </w:rPr>
        <w:t xml:space="preserve"> Extensive research has been done based on public </w:t>
      </w:r>
      <w:r w:rsidR="002D1EA1">
        <w:rPr>
          <w:rFonts w:eastAsia="Calibri" w:cstheme="minorHAnsi"/>
          <w:sz w:val="24"/>
          <w:szCs w:val="24"/>
        </w:rPr>
        <w:t>feedback, other</w:t>
      </w:r>
      <w:r w:rsidR="00781B53">
        <w:rPr>
          <w:rFonts w:eastAsia="Calibri" w:cstheme="minorHAnsi"/>
          <w:sz w:val="24"/>
          <w:szCs w:val="24"/>
        </w:rPr>
        <w:t xml:space="preserve"> states’ laws and rules, </w:t>
      </w:r>
      <w:r w:rsidR="00DC2018">
        <w:rPr>
          <w:rFonts w:eastAsia="Calibri" w:cstheme="minorHAnsi"/>
          <w:sz w:val="24"/>
          <w:szCs w:val="24"/>
        </w:rPr>
        <w:t xml:space="preserve">the </w:t>
      </w:r>
      <w:r w:rsidR="00781B53">
        <w:rPr>
          <w:rFonts w:eastAsia="Calibri" w:cstheme="minorHAnsi"/>
          <w:sz w:val="24"/>
          <w:szCs w:val="24"/>
        </w:rPr>
        <w:t>National Council of State Legislators</w:t>
      </w:r>
      <w:r w:rsidR="002D1EA1">
        <w:rPr>
          <w:rFonts w:eastAsia="Calibri" w:cstheme="minorHAnsi"/>
          <w:sz w:val="24"/>
          <w:szCs w:val="24"/>
        </w:rPr>
        <w:t xml:space="preserve"> research</w:t>
      </w:r>
      <w:r w:rsidR="00781B53">
        <w:rPr>
          <w:rFonts w:eastAsia="Calibri" w:cstheme="minorHAnsi"/>
          <w:sz w:val="24"/>
          <w:szCs w:val="24"/>
        </w:rPr>
        <w:t xml:space="preserve">, </w:t>
      </w:r>
      <w:r w:rsidR="002D1EA1">
        <w:rPr>
          <w:rFonts w:eastAsia="Calibri" w:cstheme="minorHAnsi"/>
          <w:sz w:val="24"/>
          <w:szCs w:val="24"/>
        </w:rPr>
        <w:t xml:space="preserve">the </w:t>
      </w:r>
      <w:r w:rsidR="001B4F34">
        <w:rPr>
          <w:rFonts w:eastAsia="Calibri" w:cstheme="minorHAnsi"/>
          <w:sz w:val="24"/>
          <w:szCs w:val="24"/>
        </w:rPr>
        <w:t xml:space="preserve">ND </w:t>
      </w:r>
      <w:r w:rsidR="00781B53">
        <w:rPr>
          <w:rFonts w:eastAsia="Calibri" w:cstheme="minorHAnsi"/>
          <w:sz w:val="24"/>
          <w:szCs w:val="24"/>
        </w:rPr>
        <w:t xml:space="preserve">Constitution, </w:t>
      </w:r>
      <w:r w:rsidR="002D1EA1">
        <w:rPr>
          <w:rFonts w:eastAsia="Calibri" w:cstheme="minorHAnsi"/>
          <w:sz w:val="24"/>
          <w:szCs w:val="24"/>
        </w:rPr>
        <w:t xml:space="preserve">the </w:t>
      </w:r>
      <w:r w:rsidR="00781B53">
        <w:rPr>
          <w:rFonts w:eastAsia="Calibri" w:cstheme="minorHAnsi"/>
          <w:sz w:val="24"/>
          <w:szCs w:val="24"/>
        </w:rPr>
        <w:t>Century Code,</w:t>
      </w:r>
      <w:r w:rsidR="001B4F34">
        <w:rPr>
          <w:rFonts w:eastAsia="Calibri" w:cstheme="minorHAnsi"/>
          <w:sz w:val="24"/>
          <w:szCs w:val="24"/>
        </w:rPr>
        <w:t xml:space="preserve"> </w:t>
      </w:r>
      <w:r w:rsidR="002D1EA1">
        <w:rPr>
          <w:rFonts w:eastAsia="Calibri" w:cstheme="minorHAnsi"/>
          <w:sz w:val="24"/>
          <w:szCs w:val="24"/>
        </w:rPr>
        <w:t xml:space="preserve">the </w:t>
      </w:r>
      <w:r w:rsidR="001B4F34">
        <w:rPr>
          <w:rFonts w:eastAsia="Calibri" w:cstheme="minorHAnsi"/>
          <w:sz w:val="24"/>
          <w:szCs w:val="24"/>
        </w:rPr>
        <w:t xml:space="preserve">ND Judicial </w:t>
      </w:r>
      <w:r w:rsidR="001B4F34">
        <w:rPr>
          <w:rFonts w:eastAsia="Calibri" w:cstheme="minorHAnsi"/>
          <w:sz w:val="24"/>
          <w:szCs w:val="24"/>
        </w:rPr>
        <w:lastRenderedPageBreak/>
        <w:t>Code of Ethics,</w:t>
      </w:r>
      <w:r w:rsidR="00781B53">
        <w:rPr>
          <w:rFonts w:eastAsia="Calibri" w:cstheme="minorHAnsi"/>
          <w:sz w:val="24"/>
          <w:szCs w:val="24"/>
        </w:rPr>
        <w:t xml:space="preserve"> ND Nonprofit laws and rules, the Caperton </w:t>
      </w:r>
      <w:r w:rsidR="002D1EA1">
        <w:rPr>
          <w:rFonts w:eastAsia="Calibri" w:cstheme="minorHAnsi"/>
          <w:sz w:val="24"/>
          <w:szCs w:val="24"/>
        </w:rPr>
        <w:t>Supreme Court case</w:t>
      </w:r>
      <w:r w:rsidR="00781B53">
        <w:rPr>
          <w:rFonts w:eastAsia="Calibri" w:cstheme="minorHAnsi"/>
          <w:sz w:val="24"/>
          <w:szCs w:val="24"/>
        </w:rPr>
        <w:t>, and private organizations</w:t>
      </w:r>
      <w:r w:rsidR="002D1EA1">
        <w:rPr>
          <w:rFonts w:eastAsia="Calibri" w:cstheme="minorHAnsi"/>
          <w:sz w:val="24"/>
          <w:szCs w:val="24"/>
        </w:rPr>
        <w:t xml:space="preserve"> procedures on conflicts</w:t>
      </w:r>
      <w:r w:rsidR="00781B53">
        <w:rPr>
          <w:rFonts w:eastAsia="Calibri" w:cstheme="minorHAnsi"/>
          <w:sz w:val="24"/>
          <w:szCs w:val="24"/>
        </w:rPr>
        <w:t xml:space="preserve">. </w:t>
      </w:r>
      <w:r w:rsidR="001B4F34">
        <w:rPr>
          <w:rFonts w:eastAsia="Calibri" w:cstheme="minorHAnsi"/>
          <w:sz w:val="24"/>
          <w:szCs w:val="24"/>
        </w:rPr>
        <w:t xml:space="preserve">The major common theme for all has been disclosure. </w:t>
      </w:r>
      <w:r w:rsidR="002D1EA1">
        <w:rPr>
          <w:rFonts w:eastAsia="Calibri" w:cstheme="minorHAnsi"/>
          <w:sz w:val="24"/>
          <w:szCs w:val="24"/>
        </w:rPr>
        <w:t>T</w:t>
      </w:r>
      <w:r w:rsidR="001B4F34">
        <w:rPr>
          <w:rFonts w:eastAsia="Calibri" w:cstheme="minorHAnsi"/>
          <w:sz w:val="24"/>
          <w:szCs w:val="24"/>
        </w:rPr>
        <w:t xml:space="preserve">he Commission has revised </w:t>
      </w:r>
      <w:r w:rsidR="00DC2018">
        <w:rPr>
          <w:rFonts w:eastAsia="Calibri" w:cstheme="minorHAnsi"/>
          <w:sz w:val="24"/>
          <w:szCs w:val="24"/>
        </w:rPr>
        <w:t xml:space="preserve">the </w:t>
      </w:r>
      <w:r w:rsidR="001B4F34">
        <w:rPr>
          <w:rFonts w:eastAsia="Calibri" w:cstheme="minorHAnsi"/>
          <w:sz w:val="24"/>
          <w:szCs w:val="24"/>
        </w:rPr>
        <w:t xml:space="preserve">draft conflict rules to split out quasi-judicial conflicts from the general </w:t>
      </w:r>
      <w:r w:rsidR="007C6379">
        <w:rPr>
          <w:rFonts w:eastAsia="Calibri" w:cstheme="minorHAnsi"/>
          <w:sz w:val="24"/>
          <w:szCs w:val="24"/>
        </w:rPr>
        <w:t>conflict of interest rules.</w:t>
      </w:r>
      <w:r w:rsidR="00A732A2">
        <w:rPr>
          <w:rFonts w:eastAsia="Calibri" w:cstheme="minorHAnsi"/>
          <w:sz w:val="24"/>
          <w:szCs w:val="24"/>
        </w:rPr>
        <w:t xml:space="preserve"> After </w:t>
      </w:r>
      <w:r w:rsidR="005B51B5">
        <w:rPr>
          <w:rFonts w:eastAsia="Calibri" w:cstheme="minorHAnsi"/>
          <w:sz w:val="24"/>
          <w:szCs w:val="24"/>
        </w:rPr>
        <w:t xml:space="preserve">a </w:t>
      </w:r>
      <w:r w:rsidR="00A732A2">
        <w:rPr>
          <w:rFonts w:eastAsia="Calibri" w:cstheme="minorHAnsi"/>
          <w:sz w:val="24"/>
          <w:szCs w:val="24"/>
        </w:rPr>
        <w:t>detail</w:t>
      </w:r>
      <w:r w:rsidR="005B51B5">
        <w:rPr>
          <w:rFonts w:eastAsia="Calibri" w:cstheme="minorHAnsi"/>
          <w:sz w:val="24"/>
          <w:szCs w:val="24"/>
        </w:rPr>
        <w:t>ed</w:t>
      </w:r>
      <w:r w:rsidR="00A732A2">
        <w:rPr>
          <w:rFonts w:eastAsia="Calibri" w:cstheme="minorHAnsi"/>
          <w:sz w:val="24"/>
          <w:szCs w:val="24"/>
        </w:rPr>
        <w:t xml:space="preserve"> review during the meeting</w:t>
      </w:r>
      <w:r w:rsidR="005B51B5">
        <w:rPr>
          <w:rFonts w:eastAsia="Calibri" w:cstheme="minorHAnsi"/>
          <w:sz w:val="24"/>
          <w:szCs w:val="24"/>
        </w:rPr>
        <w:t>,</w:t>
      </w:r>
      <w:r w:rsidR="00A732A2">
        <w:rPr>
          <w:rFonts w:eastAsia="Calibri" w:cstheme="minorHAnsi"/>
          <w:sz w:val="24"/>
          <w:szCs w:val="24"/>
        </w:rPr>
        <w:t xml:space="preserve"> the Commission agreed to the following changes to the current draft rules to be discussed with public commentary on February 23, 2022</w:t>
      </w:r>
      <w:r w:rsidR="00271741">
        <w:rPr>
          <w:rFonts w:eastAsia="Calibri" w:cstheme="minorHAnsi"/>
          <w:sz w:val="24"/>
          <w:szCs w:val="24"/>
        </w:rPr>
        <w:t>:</w:t>
      </w:r>
    </w:p>
    <w:p w14:paraId="65ADA50A" w14:textId="77777777" w:rsidR="00271741" w:rsidRDefault="00271741" w:rsidP="00271741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7AC2E762" w14:textId="77777777" w:rsidR="0089326C" w:rsidRDefault="00271741" w:rsidP="00A732A2">
      <w:pPr>
        <w:pStyle w:val="ListParagraph"/>
        <w:numPr>
          <w:ilvl w:val="1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115-04-01-01(1) – Under the definition of “Disqualifying Conflict of Interest”</w:t>
      </w:r>
      <w:r w:rsidR="0089326C">
        <w:rPr>
          <w:rFonts w:eastAsia="Calibri" w:cstheme="minorHAnsi"/>
          <w:sz w:val="24"/>
          <w:szCs w:val="24"/>
        </w:rPr>
        <w:t>, add language that allows the first determination of disqualifying conflict of interest be made by the public official.</w:t>
      </w:r>
    </w:p>
    <w:p w14:paraId="510B8B3F" w14:textId="5121CD62" w:rsidR="00A732A2" w:rsidRDefault="00383077" w:rsidP="00A732A2">
      <w:pPr>
        <w:pStyle w:val="ListParagraph"/>
        <w:numPr>
          <w:ilvl w:val="1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115-04-01-01(5)(e) – Add language that allows an agency, legislative body, board, </w:t>
      </w:r>
      <w:proofErr w:type="gramStart"/>
      <w:r>
        <w:rPr>
          <w:rFonts w:eastAsia="Calibri" w:cstheme="minorHAnsi"/>
          <w:sz w:val="24"/>
          <w:szCs w:val="24"/>
        </w:rPr>
        <w:t>commission</w:t>
      </w:r>
      <w:proofErr w:type="gramEnd"/>
      <w:r>
        <w:rPr>
          <w:rFonts w:eastAsia="Calibri" w:cstheme="minorHAnsi"/>
          <w:sz w:val="24"/>
          <w:szCs w:val="24"/>
        </w:rPr>
        <w:t xml:space="preserve"> or committee</w:t>
      </w:r>
      <w:r w:rsidR="003D6F7D">
        <w:rPr>
          <w:rFonts w:eastAsia="Calibri" w:cstheme="minorHAnsi"/>
          <w:sz w:val="24"/>
          <w:szCs w:val="24"/>
        </w:rPr>
        <w:t xml:space="preserve"> the flexibility</w:t>
      </w:r>
      <w:r w:rsidR="0089326C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by rule or policy to designate a Neutral Decisionmaker</w:t>
      </w:r>
      <w:r w:rsidR="00FE434B">
        <w:rPr>
          <w:rFonts w:eastAsia="Calibri" w:cstheme="minorHAnsi"/>
          <w:sz w:val="24"/>
          <w:szCs w:val="24"/>
        </w:rPr>
        <w:t>.</w:t>
      </w:r>
    </w:p>
    <w:p w14:paraId="6AECA28A" w14:textId="4E3227BD" w:rsidR="00087A6B" w:rsidRDefault="00FE434B" w:rsidP="00087A6B">
      <w:pPr>
        <w:pStyle w:val="ListParagraph"/>
        <w:numPr>
          <w:ilvl w:val="1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115-04-01-04(2)(c) – Remove </w:t>
      </w:r>
      <w:bookmarkStart w:id="3" w:name="_Hlk94525057"/>
      <w:r>
        <w:rPr>
          <w:rFonts w:eastAsia="Calibri" w:cstheme="minorHAnsi"/>
          <w:sz w:val="24"/>
          <w:szCs w:val="24"/>
        </w:rPr>
        <w:t>“within the current or immediately preceding election cycle</w:t>
      </w:r>
      <w:bookmarkEnd w:id="3"/>
      <w:r>
        <w:rPr>
          <w:rFonts w:eastAsia="Calibri" w:cstheme="minorHAnsi"/>
          <w:sz w:val="24"/>
          <w:szCs w:val="24"/>
        </w:rPr>
        <w:t>. No campaign contributions of any kind received prior to January 5, 2022, shall be included in this definition</w:t>
      </w:r>
      <w:r w:rsidR="00194479">
        <w:rPr>
          <w:rFonts w:eastAsia="Calibri" w:cstheme="minorHAnsi"/>
          <w:sz w:val="24"/>
          <w:szCs w:val="24"/>
        </w:rPr>
        <w:t>.” Th</w:t>
      </w:r>
      <w:r w:rsidR="00DF30DC">
        <w:rPr>
          <w:rFonts w:eastAsia="Calibri" w:cstheme="minorHAnsi"/>
          <w:sz w:val="24"/>
          <w:szCs w:val="24"/>
        </w:rPr>
        <w:t>e</w:t>
      </w:r>
      <w:r w:rsidR="00194479">
        <w:rPr>
          <w:rFonts w:eastAsia="Calibri" w:cstheme="minorHAnsi"/>
          <w:sz w:val="24"/>
          <w:szCs w:val="24"/>
        </w:rPr>
        <w:t xml:space="preserve"> language</w:t>
      </w:r>
      <w:r w:rsidR="00DF30DC">
        <w:rPr>
          <w:rFonts w:eastAsia="Calibri" w:cstheme="minorHAnsi"/>
          <w:sz w:val="24"/>
          <w:szCs w:val="24"/>
        </w:rPr>
        <w:t xml:space="preserve"> “within the current or immediately preceding election cycle”</w:t>
      </w:r>
      <w:r w:rsidR="00193520">
        <w:rPr>
          <w:rFonts w:eastAsia="Calibri" w:cstheme="minorHAnsi"/>
          <w:sz w:val="24"/>
          <w:szCs w:val="24"/>
        </w:rPr>
        <w:t xml:space="preserve"> </w:t>
      </w:r>
      <w:r w:rsidR="00194479">
        <w:rPr>
          <w:rFonts w:eastAsia="Calibri" w:cstheme="minorHAnsi"/>
          <w:sz w:val="24"/>
          <w:szCs w:val="24"/>
        </w:rPr>
        <w:t>will be added to</w:t>
      </w:r>
      <w:r w:rsidR="00DF30DC">
        <w:rPr>
          <w:rFonts w:eastAsia="Calibri" w:cstheme="minorHAnsi"/>
          <w:sz w:val="24"/>
          <w:szCs w:val="24"/>
        </w:rPr>
        <w:t xml:space="preserve"> the Neutral Decisionmaker’s </w:t>
      </w:r>
      <w:r w:rsidR="006A0D00">
        <w:rPr>
          <w:rFonts w:eastAsia="Calibri" w:cstheme="minorHAnsi"/>
          <w:sz w:val="24"/>
          <w:szCs w:val="24"/>
        </w:rPr>
        <w:t>analysis</w:t>
      </w:r>
      <w:r w:rsidR="00DF30DC">
        <w:rPr>
          <w:rFonts w:eastAsia="Calibri" w:cstheme="minorHAnsi"/>
          <w:sz w:val="24"/>
          <w:szCs w:val="24"/>
        </w:rPr>
        <w:t xml:space="preserve"> under</w:t>
      </w:r>
      <w:r w:rsidR="00194479">
        <w:rPr>
          <w:rFonts w:eastAsia="Calibri" w:cstheme="minorHAnsi"/>
          <w:sz w:val="24"/>
          <w:szCs w:val="24"/>
        </w:rPr>
        <w:t xml:space="preserve"> </w:t>
      </w:r>
      <w:r w:rsidR="00DF30DC">
        <w:rPr>
          <w:rFonts w:eastAsia="Calibri" w:cstheme="minorHAnsi"/>
          <w:sz w:val="24"/>
          <w:szCs w:val="24"/>
        </w:rPr>
        <w:t>115-04-01-04(5)(c).</w:t>
      </w:r>
    </w:p>
    <w:p w14:paraId="5520CD05" w14:textId="254CEE18" w:rsidR="00D55862" w:rsidRDefault="005965DE" w:rsidP="00DC2018">
      <w:pPr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Commission also discussed </w:t>
      </w:r>
      <w:r w:rsidR="0080624C">
        <w:rPr>
          <w:rFonts w:eastAsia="Calibri" w:cstheme="minorHAnsi"/>
          <w:sz w:val="24"/>
          <w:szCs w:val="24"/>
        </w:rPr>
        <w:t>whether campaign contributions should be included in 115-04-01-01(2) in the definition of potential conflicts of interest</w:t>
      </w:r>
      <w:r w:rsidR="006E337A">
        <w:rPr>
          <w:rFonts w:eastAsia="Calibri" w:cstheme="minorHAnsi"/>
          <w:sz w:val="24"/>
          <w:szCs w:val="24"/>
        </w:rPr>
        <w:t xml:space="preserve"> in the “general” section of the conflicts rule</w:t>
      </w:r>
      <w:r w:rsidR="005B51B5">
        <w:rPr>
          <w:rFonts w:eastAsia="Calibri" w:cstheme="minorHAnsi"/>
          <w:sz w:val="24"/>
          <w:szCs w:val="24"/>
        </w:rPr>
        <w:t xml:space="preserve"> or if campaign contributions should </w:t>
      </w:r>
      <w:r w:rsidR="00405FCB">
        <w:rPr>
          <w:rFonts w:eastAsia="Calibri" w:cstheme="minorHAnsi"/>
          <w:sz w:val="24"/>
          <w:szCs w:val="24"/>
        </w:rPr>
        <w:t xml:space="preserve">be </w:t>
      </w:r>
      <w:r w:rsidR="005B51B5">
        <w:rPr>
          <w:rFonts w:eastAsia="Calibri" w:cstheme="minorHAnsi"/>
          <w:sz w:val="24"/>
          <w:szCs w:val="24"/>
        </w:rPr>
        <w:t xml:space="preserve">defined </w:t>
      </w:r>
      <w:r w:rsidR="0017265B">
        <w:rPr>
          <w:rFonts w:eastAsia="Calibri" w:cstheme="minorHAnsi"/>
          <w:sz w:val="24"/>
          <w:szCs w:val="24"/>
        </w:rPr>
        <w:t xml:space="preserve">separately </w:t>
      </w:r>
      <w:r w:rsidR="005B51B5">
        <w:rPr>
          <w:rFonts w:eastAsia="Calibri" w:cstheme="minorHAnsi"/>
          <w:sz w:val="24"/>
          <w:szCs w:val="24"/>
        </w:rPr>
        <w:t>under 115-04-01-01</w:t>
      </w:r>
      <w:r w:rsidR="0080624C">
        <w:rPr>
          <w:rFonts w:eastAsia="Calibri" w:cstheme="minorHAnsi"/>
          <w:sz w:val="24"/>
          <w:szCs w:val="24"/>
        </w:rPr>
        <w:t xml:space="preserve">. </w:t>
      </w:r>
      <w:r w:rsidR="00F81D56">
        <w:rPr>
          <w:rFonts w:eastAsia="Calibri" w:cstheme="minorHAnsi"/>
          <w:sz w:val="24"/>
          <w:szCs w:val="24"/>
        </w:rPr>
        <w:t xml:space="preserve">No decision was </w:t>
      </w:r>
      <w:proofErr w:type="gramStart"/>
      <w:r w:rsidR="00F81D56">
        <w:rPr>
          <w:rFonts w:eastAsia="Calibri" w:cstheme="minorHAnsi"/>
          <w:sz w:val="24"/>
          <w:szCs w:val="24"/>
        </w:rPr>
        <w:t>made</w:t>
      </w:r>
      <w:proofErr w:type="gramEnd"/>
      <w:r w:rsidR="00F81D56">
        <w:rPr>
          <w:rFonts w:eastAsia="Calibri" w:cstheme="minorHAnsi"/>
          <w:sz w:val="24"/>
          <w:szCs w:val="24"/>
        </w:rPr>
        <w:t xml:space="preserve"> and t</w:t>
      </w:r>
      <w:r w:rsidR="0080624C">
        <w:rPr>
          <w:rFonts w:eastAsia="Calibri" w:cstheme="minorHAnsi"/>
          <w:sz w:val="24"/>
          <w:szCs w:val="24"/>
        </w:rPr>
        <w:t xml:space="preserve">he Commission agreed to table this issue and further discuss as </w:t>
      </w:r>
      <w:r w:rsidR="007341CE">
        <w:rPr>
          <w:rFonts w:eastAsia="Calibri" w:cstheme="minorHAnsi"/>
          <w:sz w:val="24"/>
          <w:szCs w:val="24"/>
        </w:rPr>
        <w:t>public input is received.</w:t>
      </w:r>
    </w:p>
    <w:p w14:paraId="5D1F8583" w14:textId="5AD19140" w:rsidR="00087A6B" w:rsidRPr="00087A6B" w:rsidRDefault="00B06687" w:rsidP="00DC2018">
      <w:pPr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The Commission also discussed the option of </w:t>
      </w:r>
      <w:r w:rsidR="00D55862">
        <w:rPr>
          <w:rFonts w:eastAsia="Calibri" w:cstheme="minorHAnsi"/>
          <w:sz w:val="24"/>
          <w:szCs w:val="24"/>
        </w:rPr>
        <w:t xml:space="preserve">including </w:t>
      </w:r>
      <w:r>
        <w:rPr>
          <w:rFonts w:eastAsia="Calibri" w:cstheme="minorHAnsi"/>
          <w:sz w:val="24"/>
          <w:szCs w:val="24"/>
        </w:rPr>
        <w:t xml:space="preserve">a bright-line </w:t>
      </w:r>
      <w:r w:rsidR="002D1EA1">
        <w:rPr>
          <w:rFonts w:eastAsia="Calibri" w:cstheme="minorHAnsi"/>
          <w:sz w:val="24"/>
          <w:szCs w:val="24"/>
        </w:rPr>
        <w:t xml:space="preserve">campaign donation limit </w:t>
      </w:r>
      <w:r>
        <w:rPr>
          <w:rFonts w:eastAsia="Calibri" w:cstheme="minorHAnsi"/>
          <w:sz w:val="24"/>
          <w:szCs w:val="24"/>
        </w:rPr>
        <w:t>within the rule</w:t>
      </w:r>
      <w:r w:rsidR="00D55862">
        <w:rPr>
          <w:rFonts w:eastAsia="Calibri" w:cstheme="minorHAnsi"/>
          <w:sz w:val="24"/>
          <w:szCs w:val="24"/>
        </w:rPr>
        <w:t>s</w:t>
      </w:r>
      <w:r>
        <w:rPr>
          <w:rFonts w:eastAsia="Calibri" w:cstheme="minorHAnsi"/>
          <w:sz w:val="24"/>
          <w:szCs w:val="24"/>
        </w:rPr>
        <w:t xml:space="preserve"> pertain</w:t>
      </w:r>
      <w:r w:rsidR="006C52B3">
        <w:rPr>
          <w:rFonts w:eastAsia="Calibri" w:cstheme="minorHAnsi"/>
          <w:sz w:val="24"/>
          <w:szCs w:val="24"/>
        </w:rPr>
        <w:t>ing</w:t>
      </w:r>
      <w:r>
        <w:rPr>
          <w:rFonts w:eastAsia="Calibri" w:cstheme="minorHAnsi"/>
          <w:sz w:val="24"/>
          <w:szCs w:val="24"/>
        </w:rPr>
        <w:t xml:space="preserve"> to quasi-judicial proceedings. Commissioner Richard also brought up a possibility of a preamble to the rule that would help in understanding the</w:t>
      </w:r>
      <w:r w:rsidR="00D55862">
        <w:rPr>
          <w:rFonts w:eastAsia="Calibri" w:cstheme="minorHAnsi"/>
          <w:sz w:val="24"/>
          <w:szCs w:val="24"/>
        </w:rPr>
        <w:t xml:space="preserve"> complexity and</w:t>
      </w:r>
      <w:r>
        <w:rPr>
          <w:rFonts w:eastAsia="Calibri" w:cstheme="minorHAnsi"/>
          <w:sz w:val="24"/>
          <w:szCs w:val="24"/>
        </w:rPr>
        <w:t xml:space="preserve"> separation of “general” conflicts of interest and “quasi</w:t>
      </w:r>
      <w:r w:rsidR="002D1EA1">
        <w:rPr>
          <w:rFonts w:eastAsia="Calibri" w:cstheme="minorHAnsi"/>
          <w:sz w:val="24"/>
          <w:szCs w:val="24"/>
        </w:rPr>
        <w:t>-</w:t>
      </w:r>
      <w:r>
        <w:rPr>
          <w:rFonts w:eastAsia="Calibri" w:cstheme="minorHAnsi"/>
          <w:sz w:val="24"/>
          <w:szCs w:val="24"/>
        </w:rPr>
        <w:t>judicial” conflicts of interest</w:t>
      </w:r>
      <w:r w:rsidR="00D55862">
        <w:rPr>
          <w:rFonts w:eastAsia="Calibri" w:cstheme="minorHAnsi"/>
          <w:sz w:val="24"/>
          <w:szCs w:val="24"/>
        </w:rPr>
        <w:t>.</w:t>
      </w:r>
    </w:p>
    <w:p w14:paraId="5D4FDAFA" w14:textId="77777777" w:rsidR="004118EB" w:rsidRPr="00563183" w:rsidRDefault="004118EB" w:rsidP="004118EB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045C468D" w14:textId="0E7C2C20" w:rsidR="00A27D1C" w:rsidRDefault="009D1F3F" w:rsidP="00DD01DA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  <w:u w:val="single"/>
        </w:rPr>
        <w:t>Further Business</w:t>
      </w:r>
      <w:r w:rsidR="002D2EEB" w:rsidRPr="00563183">
        <w:rPr>
          <w:rFonts w:eastAsia="Calibri" w:cstheme="minorHAnsi"/>
          <w:sz w:val="24"/>
          <w:szCs w:val="24"/>
          <w:u w:val="single"/>
        </w:rPr>
        <w:t>:</w:t>
      </w:r>
      <w:r w:rsidRPr="00563183">
        <w:rPr>
          <w:rFonts w:eastAsia="Calibri" w:cstheme="minorHAnsi"/>
          <w:sz w:val="24"/>
          <w:szCs w:val="24"/>
        </w:rPr>
        <w:t xml:space="preserve"> </w:t>
      </w:r>
      <w:r w:rsidR="00934546">
        <w:rPr>
          <w:rFonts w:eastAsia="Calibri" w:cstheme="minorHAnsi"/>
          <w:sz w:val="24"/>
          <w:szCs w:val="24"/>
        </w:rPr>
        <w:t xml:space="preserve"> Upon request by Chair Goodman, the Commission agreed to change the scheduled April 27, </w:t>
      </w:r>
      <w:proofErr w:type="gramStart"/>
      <w:r w:rsidR="00934546">
        <w:rPr>
          <w:rFonts w:eastAsia="Calibri" w:cstheme="minorHAnsi"/>
          <w:sz w:val="24"/>
          <w:szCs w:val="24"/>
        </w:rPr>
        <w:t>2022</w:t>
      </w:r>
      <w:proofErr w:type="gramEnd"/>
      <w:r w:rsidR="00934546">
        <w:rPr>
          <w:rFonts w:eastAsia="Calibri" w:cstheme="minorHAnsi"/>
          <w:sz w:val="24"/>
          <w:szCs w:val="24"/>
        </w:rPr>
        <w:t xml:space="preserve"> meeting to April 20, 2022.</w:t>
      </w:r>
    </w:p>
    <w:p w14:paraId="4CB58F1B" w14:textId="77777777" w:rsidR="00DC2018" w:rsidRPr="00DC2018" w:rsidRDefault="00DC2018" w:rsidP="00DC2018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7D4BB769" w14:textId="49B0A6BE" w:rsidR="00207B4F" w:rsidRDefault="002D2EEB" w:rsidP="00F81D5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  <w:u w:val="single"/>
        </w:rPr>
        <w:t>Adjourn:</w:t>
      </w:r>
      <w:r w:rsidRPr="00563183">
        <w:rPr>
          <w:rFonts w:cstheme="minorHAnsi"/>
          <w:sz w:val="24"/>
          <w:szCs w:val="24"/>
        </w:rPr>
        <w:t xml:space="preserve"> </w:t>
      </w:r>
      <w:r w:rsidR="0064610D" w:rsidRPr="00563183">
        <w:rPr>
          <w:rFonts w:cstheme="minorHAnsi"/>
          <w:sz w:val="24"/>
          <w:szCs w:val="24"/>
        </w:rPr>
        <w:t xml:space="preserve">Commission, having no further business, </w:t>
      </w:r>
      <w:r w:rsidR="000E37A6" w:rsidRPr="00563183">
        <w:rPr>
          <w:rFonts w:cstheme="minorHAnsi"/>
          <w:sz w:val="24"/>
          <w:szCs w:val="24"/>
        </w:rPr>
        <w:t xml:space="preserve">was </w:t>
      </w:r>
      <w:r w:rsidR="0064610D" w:rsidRPr="00563183">
        <w:rPr>
          <w:rFonts w:cstheme="minorHAnsi"/>
          <w:sz w:val="24"/>
          <w:szCs w:val="24"/>
        </w:rPr>
        <w:t>adjourned</w:t>
      </w:r>
      <w:r w:rsidR="00153658" w:rsidRPr="00563183">
        <w:rPr>
          <w:rFonts w:cstheme="minorHAnsi"/>
          <w:sz w:val="24"/>
          <w:szCs w:val="24"/>
        </w:rPr>
        <w:t xml:space="preserve"> </w:t>
      </w:r>
      <w:r w:rsidR="0064610D" w:rsidRPr="00563183">
        <w:rPr>
          <w:rFonts w:cstheme="minorHAnsi"/>
          <w:sz w:val="24"/>
          <w:szCs w:val="24"/>
        </w:rPr>
        <w:t xml:space="preserve">at </w:t>
      </w:r>
      <w:r w:rsidR="008D1880" w:rsidRPr="00563183">
        <w:rPr>
          <w:rFonts w:cstheme="minorHAnsi"/>
          <w:sz w:val="24"/>
          <w:szCs w:val="24"/>
        </w:rPr>
        <w:t>11:</w:t>
      </w:r>
      <w:r w:rsidR="00B70FA7">
        <w:rPr>
          <w:rFonts w:cstheme="minorHAnsi"/>
          <w:sz w:val="24"/>
          <w:szCs w:val="24"/>
        </w:rPr>
        <w:t>5</w:t>
      </w:r>
      <w:r w:rsidR="008D1880" w:rsidRPr="00563183">
        <w:rPr>
          <w:rFonts w:cstheme="minorHAnsi"/>
          <w:sz w:val="24"/>
          <w:szCs w:val="24"/>
        </w:rPr>
        <w:t>4</w:t>
      </w:r>
      <w:r w:rsidR="00E93357" w:rsidRPr="00563183">
        <w:rPr>
          <w:rFonts w:cstheme="minorHAnsi"/>
          <w:sz w:val="24"/>
          <w:szCs w:val="24"/>
        </w:rPr>
        <w:t xml:space="preserve"> a.m</w:t>
      </w:r>
      <w:r w:rsidR="0064610D" w:rsidRPr="00563183">
        <w:rPr>
          <w:rFonts w:cstheme="minorHAnsi"/>
          <w:sz w:val="24"/>
          <w:szCs w:val="24"/>
        </w:rPr>
        <w:t xml:space="preserve">. The next meeting </w:t>
      </w:r>
      <w:r w:rsidR="00E031DC" w:rsidRPr="00563183">
        <w:rPr>
          <w:rFonts w:cstheme="minorHAnsi"/>
          <w:sz w:val="24"/>
          <w:szCs w:val="24"/>
        </w:rPr>
        <w:t xml:space="preserve">is scheduled for </w:t>
      </w:r>
      <w:r w:rsidR="00B70FA7">
        <w:rPr>
          <w:rFonts w:cstheme="minorHAnsi"/>
          <w:sz w:val="24"/>
          <w:szCs w:val="24"/>
        </w:rPr>
        <w:t>Febr</w:t>
      </w:r>
      <w:r w:rsidR="008F6F6B" w:rsidRPr="00563183">
        <w:rPr>
          <w:rFonts w:cstheme="minorHAnsi"/>
          <w:sz w:val="24"/>
          <w:szCs w:val="24"/>
        </w:rPr>
        <w:t>uary 2</w:t>
      </w:r>
      <w:r w:rsidR="00B70FA7">
        <w:rPr>
          <w:rFonts w:cstheme="minorHAnsi"/>
          <w:sz w:val="24"/>
          <w:szCs w:val="24"/>
        </w:rPr>
        <w:t>3</w:t>
      </w:r>
      <w:r w:rsidR="00615320" w:rsidRPr="00563183">
        <w:rPr>
          <w:rFonts w:cstheme="minorHAnsi"/>
          <w:sz w:val="24"/>
          <w:szCs w:val="24"/>
        </w:rPr>
        <w:t>, 202</w:t>
      </w:r>
      <w:r w:rsidR="008F6F6B" w:rsidRPr="00563183">
        <w:rPr>
          <w:rFonts w:cstheme="minorHAnsi"/>
          <w:sz w:val="24"/>
          <w:szCs w:val="24"/>
        </w:rPr>
        <w:t>2</w:t>
      </w:r>
      <w:r w:rsidR="00AB15B7" w:rsidRPr="00563183">
        <w:rPr>
          <w:rFonts w:cstheme="minorHAnsi"/>
          <w:sz w:val="24"/>
          <w:szCs w:val="24"/>
        </w:rPr>
        <w:t>,</w:t>
      </w:r>
      <w:r w:rsidR="0064610D" w:rsidRPr="00563183">
        <w:rPr>
          <w:rFonts w:cstheme="minorHAnsi"/>
          <w:sz w:val="24"/>
          <w:szCs w:val="24"/>
        </w:rPr>
        <w:t xml:space="preserve"> at 9:00 a.m. by MS Teams.</w:t>
      </w:r>
    </w:p>
    <w:p w14:paraId="3A74FD47" w14:textId="77777777" w:rsidR="0041700E" w:rsidRPr="0041700E" w:rsidRDefault="0041700E" w:rsidP="0041700E">
      <w:pPr>
        <w:pStyle w:val="ListParagraph"/>
        <w:rPr>
          <w:rFonts w:cstheme="minorHAnsi"/>
          <w:sz w:val="24"/>
          <w:szCs w:val="24"/>
        </w:rPr>
      </w:pPr>
    </w:p>
    <w:p w14:paraId="18F99926" w14:textId="77777777" w:rsidR="0041700E" w:rsidRPr="00F81D56" w:rsidRDefault="0041700E" w:rsidP="0041700E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5668D506" w14:textId="01FD9EA0" w:rsidR="00835633" w:rsidRPr="00563183" w:rsidRDefault="00835633" w:rsidP="00E45462">
      <w:pPr>
        <w:ind w:left="360" w:firstLine="36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Approved on ____________</w:t>
      </w:r>
    </w:p>
    <w:p w14:paraId="24D70F10" w14:textId="42ACFF76" w:rsidR="00835633" w:rsidRPr="00563183" w:rsidRDefault="00835633" w:rsidP="00913255">
      <w:pPr>
        <w:ind w:left="360" w:firstLine="36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Dave Thiele, Executive Director, North Dakota Ethics Commission</w:t>
      </w:r>
    </w:p>
    <w:p w14:paraId="0006E1D4" w14:textId="77777777" w:rsidR="0064610D" w:rsidRPr="00563183" w:rsidRDefault="0064610D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sectPr w:rsidR="0064610D" w:rsidRPr="00563183" w:rsidSect="0041700E">
      <w:headerReference w:type="default" r:id="rId8"/>
      <w:footerReference w:type="default" r:id="rId9"/>
      <w:headerReference w:type="first" r:id="rId10"/>
      <w:pgSz w:w="12240" w:h="15840"/>
      <w:pgMar w:top="1152" w:right="1267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CACA" w14:textId="77777777" w:rsidR="003349C4" w:rsidRDefault="003349C4" w:rsidP="004502D2">
      <w:pPr>
        <w:spacing w:after="0" w:line="240" w:lineRule="auto"/>
      </w:pPr>
      <w:r>
        <w:separator/>
      </w:r>
    </w:p>
  </w:endnote>
  <w:endnote w:type="continuationSeparator" w:id="0">
    <w:p w14:paraId="1BDBDF33" w14:textId="77777777" w:rsidR="003349C4" w:rsidRDefault="003349C4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383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84BE3F" w14:textId="1C7B26C0" w:rsidR="00207B4F" w:rsidRDefault="00207B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8FCD28" w14:textId="77777777" w:rsidR="00207B4F" w:rsidRDefault="00207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B3CC" w14:textId="77777777" w:rsidR="003349C4" w:rsidRDefault="003349C4" w:rsidP="004502D2">
      <w:pPr>
        <w:spacing w:after="0" w:line="240" w:lineRule="auto"/>
      </w:pPr>
      <w:r>
        <w:separator/>
      </w:r>
    </w:p>
  </w:footnote>
  <w:footnote w:type="continuationSeparator" w:id="0">
    <w:p w14:paraId="6F30D378" w14:textId="77777777" w:rsidR="003349C4" w:rsidRDefault="003349C4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310AA"/>
    <w:multiLevelType w:val="hybridMultilevel"/>
    <w:tmpl w:val="3808117C"/>
    <w:lvl w:ilvl="0" w:tplc="04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2" w15:restartNumberingAfterBreak="0">
    <w:nsid w:val="184543A9"/>
    <w:multiLevelType w:val="hybridMultilevel"/>
    <w:tmpl w:val="FEAC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43243E"/>
    <w:multiLevelType w:val="hybridMultilevel"/>
    <w:tmpl w:val="24B8056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0230FA2"/>
    <w:multiLevelType w:val="hybridMultilevel"/>
    <w:tmpl w:val="DDF21C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92CD7"/>
    <w:multiLevelType w:val="hybridMultilevel"/>
    <w:tmpl w:val="B3BEF6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A3FF5"/>
    <w:multiLevelType w:val="hybridMultilevel"/>
    <w:tmpl w:val="BBB6C4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527B00"/>
    <w:multiLevelType w:val="hybridMultilevel"/>
    <w:tmpl w:val="EF30A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3B5AEC"/>
    <w:multiLevelType w:val="hybridMultilevel"/>
    <w:tmpl w:val="79005580"/>
    <w:lvl w:ilvl="0" w:tplc="E2405F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E739D0"/>
    <w:multiLevelType w:val="hybridMultilevel"/>
    <w:tmpl w:val="906E3968"/>
    <w:lvl w:ilvl="0" w:tplc="8CB0D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A34F7"/>
    <w:multiLevelType w:val="hybridMultilevel"/>
    <w:tmpl w:val="40521E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7879CC"/>
    <w:multiLevelType w:val="hybridMultilevel"/>
    <w:tmpl w:val="4F0E23F6"/>
    <w:lvl w:ilvl="0" w:tplc="A7387CC0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13" w15:restartNumberingAfterBreak="0">
    <w:nsid w:val="46AC6817"/>
    <w:multiLevelType w:val="hybridMultilevel"/>
    <w:tmpl w:val="5546B2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46AD1"/>
    <w:multiLevelType w:val="hybridMultilevel"/>
    <w:tmpl w:val="9018655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309F0"/>
    <w:multiLevelType w:val="hybridMultilevel"/>
    <w:tmpl w:val="8444B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9FE3E74"/>
    <w:multiLevelType w:val="hybridMultilevel"/>
    <w:tmpl w:val="CFCAEE30"/>
    <w:lvl w:ilvl="0" w:tplc="86445B1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DC06009"/>
    <w:multiLevelType w:val="hybridMultilevel"/>
    <w:tmpl w:val="F1226F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D270B"/>
    <w:multiLevelType w:val="hybridMultilevel"/>
    <w:tmpl w:val="9F0C2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4"/>
  </w:num>
  <w:num w:numId="5">
    <w:abstractNumId w:val="7"/>
  </w:num>
  <w:num w:numId="6">
    <w:abstractNumId w:val="15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13"/>
  </w:num>
  <w:num w:numId="12">
    <w:abstractNumId w:val="19"/>
  </w:num>
  <w:num w:numId="13">
    <w:abstractNumId w:val="16"/>
  </w:num>
  <w:num w:numId="14">
    <w:abstractNumId w:val="2"/>
  </w:num>
  <w:num w:numId="15">
    <w:abstractNumId w:val="8"/>
  </w:num>
  <w:num w:numId="16">
    <w:abstractNumId w:val="1"/>
  </w:num>
  <w:num w:numId="17">
    <w:abstractNumId w:val="3"/>
  </w:num>
  <w:num w:numId="18">
    <w:abstractNumId w:val="11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01683"/>
    <w:rsid w:val="00015B04"/>
    <w:rsid w:val="00016422"/>
    <w:rsid w:val="000170D0"/>
    <w:rsid w:val="00017A5D"/>
    <w:rsid w:val="00025CB2"/>
    <w:rsid w:val="00031258"/>
    <w:rsid w:val="00033CA1"/>
    <w:rsid w:val="00035E28"/>
    <w:rsid w:val="00044516"/>
    <w:rsid w:val="00044682"/>
    <w:rsid w:val="00044D37"/>
    <w:rsid w:val="000477E7"/>
    <w:rsid w:val="0005086E"/>
    <w:rsid w:val="00050907"/>
    <w:rsid w:val="00056ED0"/>
    <w:rsid w:val="00067A62"/>
    <w:rsid w:val="00077EC1"/>
    <w:rsid w:val="000812EB"/>
    <w:rsid w:val="000842CD"/>
    <w:rsid w:val="00085EA3"/>
    <w:rsid w:val="00085FC6"/>
    <w:rsid w:val="00086E18"/>
    <w:rsid w:val="00087A6B"/>
    <w:rsid w:val="00087E18"/>
    <w:rsid w:val="00092721"/>
    <w:rsid w:val="00096904"/>
    <w:rsid w:val="000A11A2"/>
    <w:rsid w:val="000B1D32"/>
    <w:rsid w:val="000B20BF"/>
    <w:rsid w:val="000C2735"/>
    <w:rsid w:val="000C3ABA"/>
    <w:rsid w:val="000C45BE"/>
    <w:rsid w:val="000C7922"/>
    <w:rsid w:val="000D282C"/>
    <w:rsid w:val="000E1C01"/>
    <w:rsid w:val="000E25A2"/>
    <w:rsid w:val="000E37A6"/>
    <w:rsid w:val="000E46AC"/>
    <w:rsid w:val="000E51CA"/>
    <w:rsid w:val="000F62F5"/>
    <w:rsid w:val="000F76E8"/>
    <w:rsid w:val="001042D1"/>
    <w:rsid w:val="00106675"/>
    <w:rsid w:val="00116FB3"/>
    <w:rsid w:val="00117613"/>
    <w:rsid w:val="00121D2D"/>
    <w:rsid w:val="0012541D"/>
    <w:rsid w:val="0012591A"/>
    <w:rsid w:val="00125B33"/>
    <w:rsid w:val="00127D81"/>
    <w:rsid w:val="00127E68"/>
    <w:rsid w:val="00133B7C"/>
    <w:rsid w:val="001343BB"/>
    <w:rsid w:val="00137B5D"/>
    <w:rsid w:val="00145452"/>
    <w:rsid w:val="0014758D"/>
    <w:rsid w:val="00153658"/>
    <w:rsid w:val="00154B14"/>
    <w:rsid w:val="00155705"/>
    <w:rsid w:val="00162E6A"/>
    <w:rsid w:val="00162F59"/>
    <w:rsid w:val="0016726A"/>
    <w:rsid w:val="00167E60"/>
    <w:rsid w:val="0017265B"/>
    <w:rsid w:val="00173C9C"/>
    <w:rsid w:val="00176635"/>
    <w:rsid w:val="00183263"/>
    <w:rsid w:val="00184406"/>
    <w:rsid w:val="00193520"/>
    <w:rsid w:val="00194479"/>
    <w:rsid w:val="00195375"/>
    <w:rsid w:val="001960E1"/>
    <w:rsid w:val="00196845"/>
    <w:rsid w:val="001A22FE"/>
    <w:rsid w:val="001A695B"/>
    <w:rsid w:val="001B4F34"/>
    <w:rsid w:val="001B5866"/>
    <w:rsid w:val="001B6885"/>
    <w:rsid w:val="001B72F2"/>
    <w:rsid w:val="001C517F"/>
    <w:rsid w:val="001D447A"/>
    <w:rsid w:val="001E5F31"/>
    <w:rsid w:val="001F163D"/>
    <w:rsid w:val="001F4C24"/>
    <w:rsid w:val="00200462"/>
    <w:rsid w:val="002017ED"/>
    <w:rsid w:val="00201C4D"/>
    <w:rsid w:val="00205DE3"/>
    <w:rsid w:val="0020636A"/>
    <w:rsid w:val="00207B4F"/>
    <w:rsid w:val="00210ACE"/>
    <w:rsid w:val="00211D73"/>
    <w:rsid w:val="00220D17"/>
    <w:rsid w:val="002230D9"/>
    <w:rsid w:val="002248E8"/>
    <w:rsid w:val="00224DD7"/>
    <w:rsid w:val="002279E5"/>
    <w:rsid w:val="0023280A"/>
    <w:rsid w:val="00234612"/>
    <w:rsid w:val="002349F4"/>
    <w:rsid w:val="0024192D"/>
    <w:rsid w:val="00242048"/>
    <w:rsid w:val="00244BC5"/>
    <w:rsid w:val="00245326"/>
    <w:rsid w:val="00245DA4"/>
    <w:rsid w:val="00246D47"/>
    <w:rsid w:val="002533A2"/>
    <w:rsid w:val="0025405D"/>
    <w:rsid w:val="00257400"/>
    <w:rsid w:val="00260EAF"/>
    <w:rsid w:val="00264C79"/>
    <w:rsid w:val="00270D56"/>
    <w:rsid w:val="00271741"/>
    <w:rsid w:val="00272FCF"/>
    <w:rsid w:val="002745B8"/>
    <w:rsid w:val="002811CA"/>
    <w:rsid w:val="00283FDE"/>
    <w:rsid w:val="002867F4"/>
    <w:rsid w:val="00297278"/>
    <w:rsid w:val="00297F99"/>
    <w:rsid w:val="002A0085"/>
    <w:rsid w:val="002A47DB"/>
    <w:rsid w:val="002A48CC"/>
    <w:rsid w:val="002B0326"/>
    <w:rsid w:val="002B3E6A"/>
    <w:rsid w:val="002C0D8E"/>
    <w:rsid w:val="002C0E65"/>
    <w:rsid w:val="002C5349"/>
    <w:rsid w:val="002C67E5"/>
    <w:rsid w:val="002D08E1"/>
    <w:rsid w:val="002D0BD5"/>
    <w:rsid w:val="002D1EA1"/>
    <w:rsid w:val="002D2EEB"/>
    <w:rsid w:val="002D4574"/>
    <w:rsid w:val="002E0342"/>
    <w:rsid w:val="002E14F9"/>
    <w:rsid w:val="002E17CF"/>
    <w:rsid w:val="002E4B4A"/>
    <w:rsid w:val="002E775A"/>
    <w:rsid w:val="002F2AE1"/>
    <w:rsid w:val="00302959"/>
    <w:rsid w:val="00307E0D"/>
    <w:rsid w:val="00307F24"/>
    <w:rsid w:val="0032626D"/>
    <w:rsid w:val="00330238"/>
    <w:rsid w:val="003349C4"/>
    <w:rsid w:val="003369C0"/>
    <w:rsid w:val="00341BCC"/>
    <w:rsid w:val="003450BE"/>
    <w:rsid w:val="00353C5C"/>
    <w:rsid w:val="00353D9D"/>
    <w:rsid w:val="0037096D"/>
    <w:rsid w:val="00374A63"/>
    <w:rsid w:val="00383077"/>
    <w:rsid w:val="00383C34"/>
    <w:rsid w:val="0038749A"/>
    <w:rsid w:val="00390DB3"/>
    <w:rsid w:val="00390DDF"/>
    <w:rsid w:val="003934A6"/>
    <w:rsid w:val="0039701B"/>
    <w:rsid w:val="003A24AF"/>
    <w:rsid w:val="003A3ADC"/>
    <w:rsid w:val="003A7ED8"/>
    <w:rsid w:val="003B02A6"/>
    <w:rsid w:val="003B5D08"/>
    <w:rsid w:val="003C2896"/>
    <w:rsid w:val="003C4210"/>
    <w:rsid w:val="003C5A7B"/>
    <w:rsid w:val="003C67E5"/>
    <w:rsid w:val="003D230B"/>
    <w:rsid w:val="003D2B0C"/>
    <w:rsid w:val="003D5A40"/>
    <w:rsid w:val="003D6824"/>
    <w:rsid w:val="003D6F7D"/>
    <w:rsid w:val="003D723E"/>
    <w:rsid w:val="003F06C8"/>
    <w:rsid w:val="003F0B63"/>
    <w:rsid w:val="003F76AF"/>
    <w:rsid w:val="00402429"/>
    <w:rsid w:val="00403859"/>
    <w:rsid w:val="00405FCB"/>
    <w:rsid w:val="00406E0C"/>
    <w:rsid w:val="004118EB"/>
    <w:rsid w:val="0041700E"/>
    <w:rsid w:val="00417DFE"/>
    <w:rsid w:val="00426F73"/>
    <w:rsid w:val="00427686"/>
    <w:rsid w:val="00431F32"/>
    <w:rsid w:val="004332E7"/>
    <w:rsid w:val="004452E7"/>
    <w:rsid w:val="004467C8"/>
    <w:rsid w:val="00446D34"/>
    <w:rsid w:val="004502D2"/>
    <w:rsid w:val="004528C9"/>
    <w:rsid w:val="00452EE2"/>
    <w:rsid w:val="00453A84"/>
    <w:rsid w:val="00455D86"/>
    <w:rsid w:val="00460EB7"/>
    <w:rsid w:val="00460EF4"/>
    <w:rsid w:val="0047036A"/>
    <w:rsid w:val="004720A9"/>
    <w:rsid w:val="00484B2B"/>
    <w:rsid w:val="00484C0F"/>
    <w:rsid w:val="004914C7"/>
    <w:rsid w:val="004959CE"/>
    <w:rsid w:val="00496B8E"/>
    <w:rsid w:val="004A0559"/>
    <w:rsid w:val="004A3D07"/>
    <w:rsid w:val="004A590D"/>
    <w:rsid w:val="004A67A1"/>
    <w:rsid w:val="004A719C"/>
    <w:rsid w:val="004B053B"/>
    <w:rsid w:val="004B79EB"/>
    <w:rsid w:val="004C6947"/>
    <w:rsid w:val="004D0C13"/>
    <w:rsid w:val="004D45CB"/>
    <w:rsid w:val="004D5225"/>
    <w:rsid w:val="004D681E"/>
    <w:rsid w:val="004E203D"/>
    <w:rsid w:val="004E794D"/>
    <w:rsid w:val="004F01E6"/>
    <w:rsid w:val="004F024D"/>
    <w:rsid w:val="004F1CFE"/>
    <w:rsid w:val="004F2008"/>
    <w:rsid w:val="004F34AA"/>
    <w:rsid w:val="004F5721"/>
    <w:rsid w:val="004F633C"/>
    <w:rsid w:val="004F779B"/>
    <w:rsid w:val="0050094C"/>
    <w:rsid w:val="00503723"/>
    <w:rsid w:val="00506FB7"/>
    <w:rsid w:val="00507467"/>
    <w:rsid w:val="0051061F"/>
    <w:rsid w:val="00511340"/>
    <w:rsid w:val="00516846"/>
    <w:rsid w:val="0052249B"/>
    <w:rsid w:val="005243D9"/>
    <w:rsid w:val="00524ED1"/>
    <w:rsid w:val="0053400A"/>
    <w:rsid w:val="00534D1E"/>
    <w:rsid w:val="00535866"/>
    <w:rsid w:val="0054245B"/>
    <w:rsid w:val="00542F67"/>
    <w:rsid w:val="00544D93"/>
    <w:rsid w:val="0055344C"/>
    <w:rsid w:val="00555AF6"/>
    <w:rsid w:val="00561675"/>
    <w:rsid w:val="00563183"/>
    <w:rsid w:val="00566266"/>
    <w:rsid w:val="00593AE8"/>
    <w:rsid w:val="00594328"/>
    <w:rsid w:val="005965DE"/>
    <w:rsid w:val="00596A87"/>
    <w:rsid w:val="005A3D92"/>
    <w:rsid w:val="005A5B15"/>
    <w:rsid w:val="005B0CCE"/>
    <w:rsid w:val="005B25FC"/>
    <w:rsid w:val="005B51B5"/>
    <w:rsid w:val="005C2196"/>
    <w:rsid w:val="005C5526"/>
    <w:rsid w:val="005C7969"/>
    <w:rsid w:val="005C7C38"/>
    <w:rsid w:val="005D0386"/>
    <w:rsid w:val="005D0CE0"/>
    <w:rsid w:val="005D4946"/>
    <w:rsid w:val="005E0399"/>
    <w:rsid w:val="005E47A2"/>
    <w:rsid w:val="005E54BE"/>
    <w:rsid w:val="005E6ADD"/>
    <w:rsid w:val="005F7C5E"/>
    <w:rsid w:val="006019D1"/>
    <w:rsid w:val="00604870"/>
    <w:rsid w:val="00610583"/>
    <w:rsid w:val="00613BEE"/>
    <w:rsid w:val="00614FE5"/>
    <w:rsid w:val="00615320"/>
    <w:rsid w:val="00621761"/>
    <w:rsid w:val="00630D08"/>
    <w:rsid w:val="00630ECB"/>
    <w:rsid w:val="00640E8C"/>
    <w:rsid w:val="00641E65"/>
    <w:rsid w:val="006427E7"/>
    <w:rsid w:val="0064566A"/>
    <w:rsid w:val="006456A5"/>
    <w:rsid w:val="0064610D"/>
    <w:rsid w:val="0064659A"/>
    <w:rsid w:val="006536C9"/>
    <w:rsid w:val="00653EAF"/>
    <w:rsid w:val="00654091"/>
    <w:rsid w:val="00662345"/>
    <w:rsid w:val="0066283A"/>
    <w:rsid w:val="00664DEA"/>
    <w:rsid w:val="00665094"/>
    <w:rsid w:val="0067153B"/>
    <w:rsid w:val="00672325"/>
    <w:rsid w:val="00676780"/>
    <w:rsid w:val="006768AF"/>
    <w:rsid w:val="00681AC2"/>
    <w:rsid w:val="006835C9"/>
    <w:rsid w:val="00691C4C"/>
    <w:rsid w:val="00695B55"/>
    <w:rsid w:val="00696CCC"/>
    <w:rsid w:val="006A0D00"/>
    <w:rsid w:val="006A42B7"/>
    <w:rsid w:val="006A4570"/>
    <w:rsid w:val="006A59F8"/>
    <w:rsid w:val="006A66A2"/>
    <w:rsid w:val="006A6DE7"/>
    <w:rsid w:val="006B0350"/>
    <w:rsid w:val="006B066D"/>
    <w:rsid w:val="006B1464"/>
    <w:rsid w:val="006B3B0D"/>
    <w:rsid w:val="006C1CBC"/>
    <w:rsid w:val="006C3C79"/>
    <w:rsid w:val="006C40D1"/>
    <w:rsid w:val="006C419D"/>
    <w:rsid w:val="006C4AC6"/>
    <w:rsid w:val="006C52B3"/>
    <w:rsid w:val="006C57BF"/>
    <w:rsid w:val="006C5B37"/>
    <w:rsid w:val="006D6E54"/>
    <w:rsid w:val="006D75AF"/>
    <w:rsid w:val="006E1294"/>
    <w:rsid w:val="006E2907"/>
    <w:rsid w:val="006E2E83"/>
    <w:rsid w:val="006E337A"/>
    <w:rsid w:val="006E4BCE"/>
    <w:rsid w:val="006E637F"/>
    <w:rsid w:val="006F671C"/>
    <w:rsid w:val="006F6DA8"/>
    <w:rsid w:val="00704A1F"/>
    <w:rsid w:val="00705261"/>
    <w:rsid w:val="00706BA0"/>
    <w:rsid w:val="00707D0A"/>
    <w:rsid w:val="00715240"/>
    <w:rsid w:val="00716382"/>
    <w:rsid w:val="00720CB9"/>
    <w:rsid w:val="00722654"/>
    <w:rsid w:val="00722A5E"/>
    <w:rsid w:val="00723AF0"/>
    <w:rsid w:val="00725BC1"/>
    <w:rsid w:val="007262C4"/>
    <w:rsid w:val="007319F1"/>
    <w:rsid w:val="007341CE"/>
    <w:rsid w:val="00736AEF"/>
    <w:rsid w:val="00740C75"/>
    <w:rsid w:val="007453E3"/>
    <w:rsid w:val="00745BA1"/>
    <w:rsid w:val="00753B94"/>
    <w:rsid w:val="00756140"/>
    <w:rsid w:val="00761950"/>
    <w:rsid w:val="007623BD"/>
    <w:rsid w:val="007624EC"/>
    <w:rsid w:val="007640C5"/>
    <w:rsid w:val="00774BAB"/>
    <w:rsid w:val="00781B53"/>
    <w:rsid w:val="0078242A"/>
    <w:rsid w:val="007874BA"/>
    <w:rsid w:val="00790397"/>
    <w:rsid w:val="00793162"/>
    <w:rsid w:val="00793817"/>
    <w:rsid w:val="00793A75"/>
    <w:rsid w:val="00795C6C"/>
    <w:rsid w:val="00796BB8"/>
    <w:rsid w:val="00797E70"/>
    <w:rsid w:val="007A4865"/>
    <w:rsid w:val="007A73A7"/>
    <w:rsid w:val="007B0103"/>
    <w:rsid w:val="007B0E0B"/>
    <w:rsid w:val="007B14DA"/>
    <w:rsid w:val="007B1713"/>
    <w:rsid w:val="007B3987"/>
    <w:rsid w:val="007B3F67"/>
    <w:rsid w:val="007B5243"/>
    <w:rsid w:val="007C4AF7"/>
    <w:rsid w:val="007C52EA"/>
    <w:rsid w:val="007C6379"/>
    <w:rsid w:val="007D1F46"/>
    <w:rsid w:val="007E2F1F"/>
    <w:rsid w:val="007E3314"/>
    <w:rsid w:val="007E44F2"/>
    <w:rsid w:val="007E7E95"/>
    <w:rsid w:val="007F1955"/>
    <w:rsid w:val="007F5643"/>
    <w:rsid w:val="00800312"/>
    <w:rsid w:val="00802394"/>
    <w:rsid w:val="0080624C"/>
    <w:rsid w:val="00810AD5"/>
    <w:rsid w:val="00810E7A"/>
    <w:rsid w:val="00810F7C"/>
    <w:rsid w:val="00813C2B"/>
    <w:rsid w:val="00833C7E"/>
    <w:rsid w:val="008354FD"/>
    <w:rsid w:val="00835633"/>
    <w:rsid w:val="0083798D"/>
    <w:rsid w:val="00841821"/>
    <w:rsid w:val="00841B9A"/>
    <w:rsid w:val="00842803"/>
    <w:rsid w:val="00860FF2"/>
    <w:rsid w:val="00862333"/>
    <w:rsid w:val="0087124D"/>
    <w:rsid w:val="00873610"/>
    <w:rsid w:val="00877301"/>
    <w:rsid w:val="008837E8"/>
    <w:rsid w:val="0088682E"/>
    <w:rsid w:val="0089326C"/>
    <w:rsid w:val="00896BA0"/>
    <w:rsid w:val="008A023B"/>
    <w:rsid w:val="008A70D5"/>
    <w:rsid w:val="008A7D23"/>
    <w:rsid w:val="008B0E1E"/>
    <w:rsid w:val="008B2D3F"/>
    <w:rsid w:val="008B62E3"/>
    <w:rsid w:val="008C1F8E"/>
    <w:rsid w:val="008C2474"/>
    <w:rsid w:val="008C2D82"/>
    <w:rsid w:val="008D1880"/>
    <w:rsid w:val="008D2DF2"/>
    <w:rsid w:val="008D5E2B"/>
    <w:rsid w:val="008E2D3A"/>
    <w:rsid w:val="008E2D3C"/>
    <w:rsid w:val="008F143B"/>
    <w:rsid w:val="008F253F"/>
    <w:rsid w:val="008F6F6B"/>
    <w:rsid w:val="00901A1D"/>
    <w:rsid w:val="0090562B"/>
    <w:rsid w:val="00913255"/>
    <w:rsid w:val="00913B76"/>
    <w:rsid w:val="009151CE"/>
    <w:rsid w:val="00915C0E"/>
    <w:rsid w:val="009255FC"/>
    <w:rsid w:val="009260A4"/>
    <w:rsid w:val="00934546"/>
    <w:rsid w:val="00937AC6"/>
    <w:rsid w:val="00940C66"/>
    <w:rsid w:val="009420B9"/>
    <w:rsid w:val="00945359"/>
    <w:rsid w:val="009459D6"/>
    <w:rsid w:val="009466BB"/>
    <w:rsid w:val="0094749A"/>
    <w:rsid w:val="009507D5"/>
    <w:rsid w:val="00960B7F"/>
    <w:rsid w:val="00960CFE"/>
    <w:rsid w:val="0096142E"/>
    <w:rsid w:val="00965EB4"/>
    <w:rsid w:val="00966DE4"/>
    <w:rsid w:val="0098743A"/>
    <w:rsid w:val="00987D55"/>
    <w:rsid w:val="00991731"/>
    <w:rsid w:val="00994EFD"/>
    <w:rsid w:val="00995B6A"/>
    <w:rsid w:val="009979AB"/>
    <w:rsid w:val="009A19D5"/>
    <w:rsid w:val="009B30E0"/>
    <w:rsid w:val="009B48BE"/>
    <w:rsid w:val="009D08A8"/>
    <w:rsid w:val="009D1F3F"/>
    <w:rsid w:val="009D3768"/>
    <w:rsid w:val="009D7843"/>
    <w:rsid w:val="009E0CD4"/>
    <w:rsid w:val="009E39C9"/>
    <w:rsid w:val="009F52D0"/>
    <w:rsid w:val="009F5D81"/>
    <w:rsid w:val="00A06FD7"/>
    <w:rsid w:val="00A1145B"/>
    <w:rsid w:val="00A16228"/>
    <w:rsid w:val="00A27D1C"/>
    <w:rsid w:val="00A34048"/>
    <w:rsid w:val="00A34410"/>
    <w:rsid w:val="00A3696F"/>
    <w:rsid w:val="00A37BB9"/>
    <w:rsid w:val="00A37C26"/>
    <w:rsid w:val="00A42888"/>
    <w:rsid w:val="00A435CB"/>
    <w:rsid w:val="00A4419D"/>
    <w:rsid w:val="00A47007"/>
    <w:rsid w:val="00A47B43"/>
    <w:rsid w:val="00A562EF"/>
    <w:rsid w:val="00A575FD"/>
    <w:rsid w:val="00A62B76"/>
    <w:rsid w:val="00A65CA2"/>
    <w:rsid w:val="00A65FB8"/>
    <w:rsid w:val="00A72B01"/>
    <w:rsid w:val="00A732A2"/>
    <w:rsid w:val="00A741B7"/>
    <w:rsid w:val="00A74A31"/>
    <w:rsid w:val="00A772E3"/>
    <w:rsid w:val="00A83D1B"/>
    <w:rsid w:val="00A8727E"/>
    <w:rsid w:val="00A87F3C"/>
    <w:rsid w:val="00AA1567"/>
    <w:rsid w:val="00AA359A"/>
    <w:rsid w:val="00AA411F"/>
    <w:rsid w:val="00AA7A78"/>
    <w:rsid w:val="00AB15B7"/>
    <w:rsid w:val="00AC3A82"/>
    <w:rsid w:val="00AC4406"/>
    <w:rsid w:val="00AC646C"/>
    <w:rsid w:val="00AD29D9"/>
    <w:rsid w:val="00AD55B2"/>
    <w:rsid w:val="00AD5672"/>
    <w:rsid w:val="00AE187A"/>
    <w:rsid w:val="00AE3049"/>
    <w:rsid w:val="00AF6130"/>
    <w:rsid w:val="00AF6B88"/>
    <w:rsid w:val="00B008D6"/>
    <w:rsid w:val="00B05298"/>
    <w:rsid w:val="00B062C6"/>
    <w:rsid w:val="00B06687"/>
    <w:rsid w:val="00B069E7"/>
    <w:rsid w:val="00B10458"/>
    <w:rsid w:val="00B160BC"/>
    <w:rsid w:val="00B2090B"/>
    <w:rsid w:val="00B23919"/>
    <w:rsid w:val="00B30E8F"/>
    <w:rsid w:val="00B31FEC"/>
    <w:rsid w:val="00B33333"/>
    <w:rsid w:val="00B419E9"/>
    <w:rsid w:val="00B421F5"/>
    <w:rsid w:val="00B50DC2"/>
    <w:rsid w:val="00B529B0"/>
    <w:rsid w:val="00B53142"/>
    <w:rsid w:val="00B536AA"/>
    <w:rsid w:val="00B5476E"/>
    <w:rsid w:val="00B551A6"/>
    <w:rsid w:val="00B67350"/>
    <w:rsid w:val="00B678FD"/>
    <w:rsid w:val="00B70FA7"/>
    <w:rsid w:val="00B712F3"/>
    <w:rsid w:val="00B71CE4"/>
    <w:rsid w:val="00B7222C"/>
    <w:rsid w:val="00B74E4C"/>
    <w:rsid w:val="00B75B92"/>
    <w:rsid w:val="00B81D69"/>
    <w:rsid w:val="00B8202A"/>
    <w:rsid w:val="00B90635"/>
    <w:rsid w:val="00B91380"/>
    <w:rsid w:val="00B93EC9"/>
    <w:rsid w:val="00B95639"/>
    <w:rsid w:val="00B96AD3"/>
    <w:rsid w:val="00BA0D1A"/>
    <w:rsid w:val="00BA46B7"/>
    <w:rsid w:val="00BA4D62"/>
    <w:rsid w:val="00BB3E8A"/>
    <w:rsid w:val="00BC6B55"/>
    <w:rsid w:val="00BD2D04"/>
    <w:rsid w:val="00BD49A6"/>
    <w:rsid w:val="00BE0AF6"/>
    <w:rsid w:val="00BE1292"/>
    <w:rsid w:val="00BE5D34"/>
    <w:rsid w:val="00BF0566"/>
    <w:rsid w:val="00BF170E"/>
    <w:rsid w:val="00BF1A07"/>
    <w:rsid w:val="00BF3E2B"/>
    <w:rsid w:val="00BF5D45"/>
    <w:rsid w:val="00C03C97"/>
    <w:rsid w:val="00C0612A"/>
    <w:rsid w:val="00C06EA4"/>
    <w:rsid w:val="00C076C3"/>
    <w:rsid w:val="00C10B03"/>
    <w:rsid w:val="00C12711"/>
    <w:rsid w:val="00C13272"/>
    <w:rsid w:val="00C138FC"/>
    <w:rsid w:val="00C23DB3"/>
    <w:rsid w:val="00C41E09"/>
    <w:rsid w:val="00C424A1"/>
    <w:rsid w:val="00C471CF"/>
    <w:rsid w:val="00C63E05"/>
    <w:rsid w:val="00C641A3"/>
    <w:rsid w:val="00C64B9F"/>
    <w:rsid w:val="00C66B63"/>
    <w:rsid w:val="00C67CD3"/>
    <w:rsid w:val="00C71722"/>
    <w:rsid w:val="00C80EC0"/>
    <w:rsid w:val="00C93425"/>
    <w:rsid w:val="00CA1C21"/>
    <w:rsid w:val="00CA3AA9"/>
    <w:rsid w:val="00CB1DCD"/>
    <w:rsid w:val="00CB4BB3"/>
    <w:rsid w:val="00CB5769"/>
    <w:rsid w:val="00CB610A"/>
    <w:rsid w:val="00CB6DEB"/>
    <w:rsid w:val="00CC0D4B"/>
    <w:rsid w:val="00CC1218"/>
    <w:rsid w:val="00CC7562"/>
    <w:rsid w:val="00CD21C9"/>
    <w:rsid w:val="00CE7E91"/>
    <w:rsid w:val="00CF1282"/>
    <w:rsid w:val="00CF256C"/>
    <w:rsid w:val="00CF4AF8"/>
    <w:rsid w:val="00CF554C"/>
    <w:rsid w:val="00CF6C14"/>
    <w:rsid w:val="00CF7859"/>
    <w:rsid w:val="00D13693"/>
    <w:rsid w:val="00D14AFE"/>
    <w:rsid w:val="00D14EDF"/>
    <w:rsid w:val="00D21DAD"/>
    <w:rsid w:val="00D2384D"/>
    <w:rsid w:val="00D249B7"/>
    <w:rsid w:val="00D27460"/>
    <w:rsid w:val="00D40995"/>
    <w:rsid w:val="00D4219E"/>
    <w:rsid w:val="00D43FC1"/>
    <w:rsid w:val="00D5124E"/>
    <w:rsid w:val="00D55862"/>
    <w:rsid w:val="00D57D17"/>
    <w:rsid w:val="00D57F91"/>
    <w:rsid w:val="00D6096E"/>
    <w:rsid w:val="00D619AD"/>
    <w:rsid w:val="00D61A64"/>
    <w:rsid w:val="00D66C22"/>
    <w:rsid w:val="00D7132D"/>
    <w:rsid w:val="00D74C38"/>
    <w:rsid w:val="00D77AC4"/>
    <w:rsid w:val="00D8285A"/>
    <w:rsid w:val="00D82A69"/>
    <w:rsid w:val="00D8554D"/>
    <w:rsid w:val="00D95935"/>
    <w:rsid w:val="00D95CD2"/>
    <w:rsid w:val="00D9631E"/>
    <w:rsid w:val="00DA0EBB"/>
    <w:rsid w:val="00DA2E49"/>
    <w:rsid w:val="00DA5808"/>
    <w:rsid w:val="00DA62BD"/>
    <w:rsid w:val="00DA713D"/>
    <w:rsid w:val="00DB4F0A"/>
    <w:rsid w:val="00DC048C"/>
    <w:rsid w:val="00DC1F13"/>
    <w:rsid w:val="00DC2018"/>
    <w:rsid w:val="00DC5CFA"/>
    <w:rsid w:val="00DD01DA"/>
    <w:rsid w:val="00DD0CB5"/>
    <w:rsid w:val="00DD4204"/>
    <w:rsid w:val="00DD48C8"/>
    <w:rsid w:val="00DE0790"/>
    <w:rsid w:val="00DE2185"/>
    <w:rsid w:val="00DE2C41"/>
    <w:rsid w:val="00DE333E"/>
    <w:rsid w:val="00DE5E6A"/>
    <w:rsid w:val="00DF30DC"/>
    <w:rsid w:val="00DF5D12"/>
    <w:rsid w:val="00E009AD"/>
    <w:rsid w:val="00E031DC"/>
    <w:rsid w:val="00E03642"/>
    <w:rsid w:val="00E06AB1"/>
    <w:rsid w:val="00E11438"/>
    <w:rsid w:val="00E12F54"/>
    <w:rsid w:val="00E14A03"/>
    <w:rsid w:val="00E17A5D"/>
    <w:rsid w:val="00E225CB"/>
    <w:rsid w:val="00E303CB"/>
    <w:rsid w:val="00E30BA4"/>
    <w:rsid w:val="00E44068"/>
    <w:rsid w:val="00E45462"/>
    <w:rsid w:val="00E510B3"/>
    <w:rsid w:val="00E5122A"/>
    <w:rsid w:val="00E5202E"/>
    <w:rsid w:val="00E54558"/>
    <w:rsid w:val="00E62B2C"/>
    <w:rsid w:val="00E64BE9"/>
    <w:rsid w:val="00E7171E"/>
    <w:rsid w:val="00E7644E"/>
    <w:rsid w:val="00E76485"/>
    <w:rsid w:val="00E76FBD"/>
    <w:rsid w:val="00E77212"/>
    <w:rsid w:val="00E80476"/>
    <w:rsid w:val="00E82163"/>
    <w:rsid w:val="00E83935"/>
    <w:rsid w:val="00E83A9E"/>
    <w:rsid w:val="00E875EF"/>
    <w:rsid w:val="00E93357"/>
    <w:rsid w:val="00E9700A"/>
    <w:rsid w:val="00EA5CCD"/>
    <w:rsid w:val="00EA6918"/>
    <w:rsid w:val="00EA6E20"/>
    <w:rsid w:val="00EB21F6"/>
    <w:rsid w:val="00EB7D64"/>
    <w:rsid w:val="00EC0D11"/>
    <w:rsid w:val="00ED09E3"/>
    <w:rsid w:val="00ED0E4C"/>
    <w:rsid w:val="00ED5530"/>
    <w:rsid w:val="00EE2D35"/>
    <w:rsid w:val="00EF0CBF"/>
    <w:rsid w:val="00F0746A"/>
    <w:rsid w:val="00F075E4"/>
    <w:rsid w:val="00F07B20"/>
    <w:rsid w:val="00F111D6"/>
    <w:rsid w:val="00F12ADF"/>
    <w:rsid w:val="00F14AAF"/>
    <w:rsid w:val="00F1583E"/>
    <w:rsid w:val="00F25AC1"/>
    <w:rsid w:val="00F26C80"/>
    <w:rsid w:val="00F2720B"/>
    <w:rsid w:val="00F35A9E"/>
    <w:rsid w:val="00F37887"/>
    <w:rsid w:val="00F37BAD"/>
    <w:rsid w:val="00F428B6"/>
    <w:rsid w:val="00F42ADC"/>
    <w:rsid w:val="00F44514"/>
    <w:rsid w:val="00F457D5"/>
    <w:rsid w:val="00F46130"/>
    <w:rsid w:val="00F53C44"/>
    <w:rsid w:val="00F54748"/>
    <w:rsid w:val="00F54BF4"/>
    <w:rsid w:val="00F5569D"/>
    <w:rsid w:val="00F60A06"/>
    <w:rsid w:val="00F60F74"/>
    <w:rsid w:val="00F668A3"/>
    <w:rsid w:val="00F7019C"/>
    <w:rsid w:val="00F70F6A"/>
    <w:rsid w:val="00F71916"/>
    <w:rsid w:val="00F73E7D"/>
    <w:rsid w:val="00F754B1"/>
    <w:rsid w:val="00F81D56"/>
    <w:rsid w:val="00F848D3"/>
    <w:rsid w:val="00F85717"/>
    <w:rsid w:val="00F8716C"/>
    <w:rsid w:val="00F93880"/>
    <w:rsid w:val="00FA532E"/>
    <w:rsid w:val="00FB062A"/>
    <w:rsid w:val="00FB42C2"/>
    <w:rsid w:val="00FC32AA"/>
    <w:rsid w:val="00FC5153"/>
    <w:rsid w:val="00FD0995"/>
    <w:rsid w:val="00FD56BF"/>
    <w:rsid w:val="00FD7DC2"/>
    <w:rsid w:val="00FE0A80"/>
    <w:rsid w:val="00FE1C83"/>
    <w:rsid w:val="00FE434B"/>
    <w:rsid w:val="00FE7DDC"/>
    <w:rsid w:val="00FF00F9"/>
    <w:rsid w:val="00FF1D12"/>
    <w:rsid w:val="00FF544E"/>
    <w:rsid w:val="00FF56E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60BF"/>
  <w15:chartTrackingRefBased/>
  <w15:docId w15:val="{E5C5FB76-6BA7-4094-9DE1-F4E9B0E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C080-4B9E-40C1-8451-A47BE34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2</cp:revision>
  <cp:lastPrinted>2021-12-27T22:50:00Z</cp:lastPrinted>
  <dcterms:created xsi:type="dcterms:W3CDTF">2022-02-07T16:04:00Z</dcterms:created>
  <dcterms:modified xsi:type="dcterms:W3CDTF">2022-02-07T16:04:00Z</dcterms:modified>
</cp:coreProperties>
</file>