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1CC9F4" w14:textId="61B06AC7" w:rsidR="00327D06" w:rsidRPr="00C66FE4" w:rsidRDefault="00DD0507" w:rsidP="00E50B49">
      <w:pPr>
        <w:pStyle w:val="NoSpacing"/>
        <w:spacing w:line="480" w:lineRule="auto"/>
        <w:jc w:val="both"/>
      </w:pPr>
      <w:r w:rsidRPr="00C66FE4">
        <w:t>Title 115</w:t>
      </w:r>
    </w:p>
    <w:p w14:paraId="0A6AEFBF" w14:textId="5793F365" w:rsidR="00DD0507" w:rsidRPr="00C66FE4" w:rsidRDefault="00824830" w:rsidP="00E50B49">
      <w:pPr>
        <w:pStyle w:val="NoSpacing"/>
        <w:spacing w:line="480" w:lineRule="auto"/>
        <w:jc w:val="both"/>
      </w:pPr>
      <w:r w:rsidRPr="00C66FE4">
        <w:t>ETHICS COMMISSION</w:t>
      </w:r>
    </w:p>
    <w:p w14:paraId="11F248B4" w14:textId="58E9C0B1" w:rsidR="00777766" w:rsidRPr="00C66FE4" w:rsidRDefault="00DD0507" w:rsidP="00E50B49">
      <w:pPr>
        <w:pStyle w:val="NoSpacing"/>
        <w:spacing w:line="480" w:lineRule="auto"/>
        <w:jc w:val="both"/>
      </w:pPr>
      <w:r w:rsidRPr="00C66FE4">
        <w:t>Article</w:t>
      </w:r>
    </w:p>
    <w:p w14:paraId="78D56447" w14:textId="6400187E" w:rsidR="00407B74" w:rsidRPr="00C66FE4" w:rsidRDefault="00407B74" w:rsidP="00E50B49">
      <w:pPr>
        <w:pStyle w:val="NoSpacing"/>
        <w:spacing w:line="480" w:lineRule="auto"/>
        <w:jc w:val="both"/>
      </w:pPr>
      <w:r w:rsidRPr="00C66FE4">
        <w:t xml:space="preserve">115-01        </w:t>
      </w:r>
      <w:r w:rsidR="00185164" w:rsidRPr="00C66FE4">
        <w:t xml:space="preserve">  </w:t>
      </w:r>
      <w:r w:rsidRPr="00C66FE4">
        <w:t xml:space="preserve"> </w:t>
      </w:r>
      <w:r w:rsidR="00E24081" w:rsidRPr="00C66FE4">
        <w:t xml:space="preserve"> </w:t>
      </w:r>
      <w:r w:rsidRPr="00C66FE4">
        <w:t>Reserved</w:t>
      </w:r>
    </w:p>
    <w:p w14:paraId="020CB867" w14:textId="72B872DC" w:rsidR="00DD0507" w:rsidRPr="00C66FE4" w:rsidRDefault="00591394" w:rsidP="00E50B49">
      <w:pPr>
        <w:pStyle w:val="NoSpacing"/>
        <w:numPr>
          <w:ilvl w:val="1"/>
          <w:numId w:val="5"/>
        </w:numPr>
        <w:spacing w:line="480" w:lineRule="auto"/>
        <w:ind w:hanging="240"/>
        <w:jc w:val="both"/>
      </w:pPr>
      <w:r w:rsidRPr="00C66FE4">
        <w:t xml:space="preserve">      </w:t>
      </w:r>
      <w:r w:rsidR="00185164" w:rsidRPr="00C66FE4">
        <w:t xml:space="preserve"> </w:t>
      </w:r>
      <w:r w:rsidRPr="00C66FE4">
        <w:t xml:space="preserve"> </w:t>
      </w:r>
      <w:r w:rsidR="00185164" w:rsidRPr="00C66FE4">
        <w:t xml:space="preserve"> </w:t>
      </w:r>
      <w:r w:rsidR="00E24081" w:rsidRPr="00C66FE4">
        <w:t xml:space="preserve"> </w:t>
      </w:r>
      <w:r w:rsidR="00407B74" w:rsidRPr="00C66FE4">
        <w:t>Complaint</w:t>
      </w:r>
      <w:r w:rsidR="00DD0507" w:rsidRPr="00C66FE4">
        <w:t>s</w:t>
      </w:r>
    </w:p>
    <w:p w14:paraId="192A4F83" w14:textId="168BAFF2" w:rsidR="002F44EE" w:rsidRPr="00C66FE4" w:rsidRDefault="002F44EE" w:rsidP="00E50B49">
      <w:pPr>
        <w:pStyle w:val="NoSpacing"/>
        <w:numPr>
          <w:ilvl w:val="1"/>
          <w:numId w:val="5"/>
        </w:numPr>
        <w:spacing w:line="480" w:lineRule="auto"/>
        <w:ind w:hanging="240"/>
        <w:jc w:val="both"/>
      </w:pPr>
      <w:r w:rsidRPr="00C66FE4">
        <w:t xml:space="preserve">      </w:t>
      </w:r>
      <w:r w:rsidR="00185164" w:rsidRPr="00C66FE4">
        <w:t xml:space="preserve">   </w:t>
      </w:r>
      <w:r w:rsidRPr="00C66FE4">
        <w:t xml:space="preserve"> Gifts</w:t>
      </w:r>
    </w:p>
    <w:p w14:paraId="64D0D1FA" w14:textId="1E4608AB" w:rsidR="00630D0E" w:rsidRPr="00C66FE4" w:rsidRDefault="00630D0E" w:rsidP="00E50B49">
      <w:pPr>
        <w:pStyle w:val="NoSpacing"/>
        <w:numPr>
          <w:ilvl w:val="1"/>
          <w:numId w:val="5"/>
        </w:numPr>
        <w:spacing w:line="480" w:lineRule="auto"/>
        <w:ind w:hanging="240"/>
        <w:jc w:val="both"/>
      </w:pPr>
      <w:r w:rsidRPr="00C66FE4">
        <w:t xml:space="preserve">       </w:t>
      </w:r>
      <w:r w:rsidR="00185164" w:rsidRPr="00C66FE4">
        <w:t xml:space="preserve">  </w:t>
      </w:r>
      <w:r w:rsidRPr="00C66FE4">
        <w:t xml:space="preserve"> Conflict of interest</w:t>
      </w:r>
    </w:p>
    <w:p w14:paraId="7F36DC64" w14:textId="59C582A0" w:rsidR="00407B74" w:rsidRPr="00C66FE4" w:rsidRDefault="00DD0507" w:rsidP="00E50B49">
      <w:pPr>
        <w:pStyle w:val="NoSpacing"/>
        <w:spacing w:line="480" w:lineRule="auto"/>
        <w:jc w:val="both"/>
      </w:pPr>
      <w:r w:rsidRPr="00C66FE4">
        <w:t>Chapter</w:t>
      </w:r>
      <w:r w:rsidR="00407B74" w:rsidRPr="00C66FE4">
        <w:t xml:space="preserve"> </w:t>
      </w:r>
    </w:p>
    <w:p w14:paraId="20890E4C" w14:textId="53C6E47A" w:rsidR="00407B74" w:rsidRPr="00C66FE4" w:rsidRDefault="00DD0507" w:rsidP="00E50B49">
      <w:pPr>
        <w:pStyle w:val="NoSpacing"/>
        <w:spacing w:line="480" w:lineRule="auto"/>
        <w:jc w:val="both"/>
      </w:pPr>
      <w:r w:rsidRPr="00C66FE4">
        <w:t>115-0</w:t>
      </w:r>
      <w:r w:rsidR="00630D0E" w:rsidRPr="00C66FE4">
        <w:t>4</w:t>
      </w:r>
      <w:r w:rsidRPr="00C66FE4">
        <w:t xml:space="preserve">-01   </w:t>
      </w:r>
      <w:r w:rsidR="00185164" w:rsidRPr="00C66FE4">
        <w:t xml:space="preserve">     </w:t>
      </w:r>
      <w:r w:rsidR="00C80B3D" w:rsidRPr="00C66FE4">
        <w:t>C</w:t>
      </w:r>
      <w:r w:rsidR="00630D0E" w:rsidRPr="00C66FE4">
        <w:t xml:space="preserve">onflict of </w:t>
      </w:r>
      <w:r w:rsidR="00C80B3D" w:rsidRPr="00C66FE4">
        <w:t>I</w:t>
      </w:r>
      <w:r w:rsidR="00630D0E" w:rsidRPr="00C66FE4">
        <w:t>nterest</w:t>
      </w:r>
      <w:r w:rsidR="002F44EE" w:rsidRPr="00C66FE4">
        <w:t xml:space="preserve"> </w:t>
      </w:r>
    </w:p>
    <w:p w14:paraId="1A75A992" w14:textId="18E9FBB5" w:rsidR="00DD0507" w:rsidRPr="00C66FE4" w:rsidRDefault="00DD0507" w:rsidP="00E50B49">
      <w:pPr>
        <w:pStyle w:val="NoSpacing"/>
        <w:spacing w:line="480" w:lineRule="auto"/>
        <w:jc w:val="both"/>
      </w:pPr>
      <w:r w:rsidRPr="00C66FE4">
        <w:t>Section</w:t>
      </w:r>
    </w:p>
    <w:p w14:paraId="636A176F" w14:textId="21836851" w:rsidR="00DD0507" w:rsidRPr="00C66FE4" w:rsidRDefault="00DD0507" w:rsidP="00E50B49">
      <w:pPr>
        <w:pStyle w:val="NoSpacing"/>
        <w:spacing w:line="480" w:lineRule="auto"/>
        <w:jc w:val="both"/>
      </w:pPr>
      <w:r w:rsidRPr="00C66FE4">
        <w:t>115-0</w:t>
      </w:r>
      <w:r w:rsidR="00630D0E" w:rsidRPr="00C66FE4">
        <w:t>4</w:t>
      </w:r>
      <w:r w:rsidRPr="00C66FE4">
        <w:t>-01-01</w:t>
      </w:r>
      <w:r w:rsidRPr="00C66FE4">
        <w:tab/>
        <w:t>Definitions</w:t>
      </w:r>
    </w:p>
    <w:p w14:paraId="7DC002E0" w14:textId="77900E98" w:rsidR="00DD0507" w:rsidRPr="00C66FE4" w:rsidRDefault="00DD0507" w:rsidP="00E50B49">
      <w:pPr>
        <w:pStyle w:val="NoSpacing"/>
        <w:spacing w:line="480" w:lineRule="auto"/>
        <w:jc w:val="both"/>
      </w:pPr>
      <w:bookmarkStart w:id="0" w:name="_Hlk73611375"/>
      <w:r w:rsidRPr="00C66FE4">
        <w:t>115-0</w:t>
      </w:r>
      <w:r w:rsidR="00630D0E" w:rsidRPr="00C66FE4">
        <w:t>4</w:t>
      </w:r>
      <w:r w:rsidRPr="00C66FE4">
        <w:t>-01-02</w:t>
      </w:r>
      <w:r w:rsidRPr="00C66FE4">
        <w:tab/>
      </w:r>
      <w:r w:rsidR="00C80B3D" w:rsidRPr="00C66FE4">
        <w:t xml:space="preserve">Disclosure of </w:t>
      </w:r>
      <w:r w:rsidR="00DE444A" w:rsidRPr="00C66FE4">
        <w:t xml:space="preserve">Potential </w:t>
      </w:r>
      <w:r w:rsidR="00C80B3D" w:rsidRPr="00C66FE4">
        <w:t>Conflict of Interests</w:t>
      </w:r>
    </w:p>
    <w:p w14:paraId="26F5CFC6" w14:textId="4E15693C" w:rsidR="0077408F" w:rsidRPr="00C66FE4" w:rsidRDefault="006B60E6" w:rsidP="00E50B49">
      <w:pPr>
        <w:pStyle w:val="NoSpacing"/>
        <w:spacing w:line="480" w:lineRule="auto"/>
        <w:jc w:val="both"/>
      </w:pPr>
      <w:bookmarkStart w:id="1" w:name="_Hlk75950596"/>
      <w:bookmarkEnd w:id="0"/>
      <w:r w:rsidRPr="00C66FE4">
        <w:t>115-0</w:t>
      </w:r>
      <w:r w:rsidR="00630D0E" w:rsidRPr="00C66FE4">
        <w:t>4</w:t>
      </w:r>
      <w:r w:rsidRPr="00C66FE4">
        <w:t xml:space="preserve">-01-03     </w:t>
      </w:r>
      <w:r w:rsidR="00DE444A" w:rsidRPr="00C66FE4">
        <w:t>Neutral Decisionmaker(s) Review of Potential Conflict Disclosures, Decision and Action</w:t>
      </w:r>
    </w:p>
    <w:p w14:paraId="267305EE" w14:textId="7D5B493B" w:rsidR="00534623" w:rsidRPr="00C66FE4" w:rsidRDefault="00534623" w:rsidP="00E50B49">
      <w:pPr>
        <w:pStyle w:val="NoSpacing"/>
        <w:spacing w:line="480" w:lineRule="auto"/>
        <w:jc w:val="both"/>
      </w:pPr>
      <w:r w:rsidRPr="00C66FE4">
        <w:t>115-04-01-04</w:t>
      </w:r>
      <w:r w:rsidRPr="00C66FE4">
        <w:tab/>
        <w:t>Quasi-Judicial Proceedings</w:t>
      </w:r>
    </w:p>
    <w:bookmarkEnd w:id="1"/>
    <w:p w14:paraId="565A6B77" w14:textId="0CD40FD9" w:rsidR="00154B75" w:rsidRPr="00C66FE4" w:rsidRDefault="00154B75" w:rsidP="00154B75">
      <w:pPr>
        <w:pStyle w:val="NoSpacing"/>
        <w:spacing w:line="480" w:lineRule="auto"/>
        <w:jc w:val="both"/>
      </w:pPr>
      <w:r w:rsidRPr="00C66FE4">
        <w:t>115-04-01-0</w:t>
      </w:r>
      <w:r w:rsidR="00AD0B22" w:rsidRPr="00C66FE4">
        <w:t>5</w:t>
      </w:r>
      <w:r w:rsidRPr="00C66FE4">
        <w:t xml:space="preserve">     Adoption of More Restrictive Rules</w:t>
      </w:r>
    </w:p>
    <w:p w14:paraId="67AC1EBF" w14:textId="51247E65" w:rsidR="00AE7C8D" w:rsidRPr="00C66FE4" w:rsidRDefault="00AE7C8D" w:rsidP="00E50B49">
      <w:pPr>
        <w:pStyle w:val="NoSpacing"/>
        <w:tabs>
          <w:tab w:val="left" w:pos="6660"/>
        </w:tabs>
        <w:spacing w:line="480" w:lineRule="auto"/>
        <w:jc w:val="both"/>
      </w:pPr>
    </w:p>
    <w:p w14:paraId="0011CFF2" w14:textId="466335EE" w:rsidR="00AE7C8D" w:rsidRPr="00C66FE4" w:rsidRDefault="00AE7C8D" w:rsidP="00E50B49">
      <w:pPr>
        <w:pStyle w:val="NoSpacing"/>
        <w:spacing w:line="480" w:lineRule="auto"/>
        <w:jc w:val="both"/>
      </w:pPr>
    </w:p>
    <w:p w14:paraId="6718BC15" w14:textId="0FD8DD3A" w:rsidR="00AE7C8D" w:rsidRPr="004B6DA1" w:rsidRDefault="00AE7C8D" w:rsidP="00E50B49">
      <w:pPr>
        <w:pStyle w:val="NoSpacing"/>
        <w:spacing w:line="480" w:lineRule="auto"/>
        <w:jc w:val="both"/>
        <w:rPr>
          <w:b/>
          <w:bCs/>
        </w:rPr>
      </w:pPr>
      <w:r w:rsidRPr="004B6DA1">
        <w:rPr>
          <w:b/>
          <w:bCs/>
        </w:rPr>
        <w:t>115-0</w:t>
      </w:r>
      <w:r w:rsidR="00121E68" w:rsidRPr="004B6DA1">
        <w:rPr>
          <w:b/>
          <w:bCs/>
        </w:rPr>
        <w:t>4</w:t>
      </w:r>
      <w:r w:rsidRPr="004B6DA1">
        <w:rPr>
          <w:b/>
          <w:bCs/>
        </w:rPr>
        <w:t>-01-01.  Definitions</w:t>
      </w:r>
    </w:p>
    <w:p w14:paraId="68F193BF" w14:textId="4DF51EBF" w:rsidR="00DE444A" w:rsidRPr="00C66FE4" w:rsidRDefault="00DE444A" w:rsidP="001B66A6">
      <w:pPr>
        <w:pStyle w:val="ListParagraph"/>
        <w:numPr>
          <w:ilvl w:val="0"/>
          <w:numId w:val="13"/>
        </w:numPr>
        <w:spacing w:line="480" w:lineRule="auto"/>
        <w:ind w:left="450" w:hanging="450"/>
        <w:jc w:val="both"/>
      </w:pPr>
      <w:bookmarkStart w:id="2" w:name="_Hlk73606903"/>
      <w:bookmarkStart w:id="3" w:name="_Hlk73607014"/>
      <w:r w:rsidRPr="00C66FE4">
        <w:t>“</w:t>
      </w:r>
      <w:r w:rsidR="00AD0B22" w:rsidRPr="00C66FE4">
        <w:t>Disqualifying</w:t>
      </w:r>
      <w:r w:rsidRPr="00C66FE4">
        <w:t xml:space="preserve"> Conflict of Interest” </w:t>
      </w:r>
      <w:r w:rsidR="007415D1" w:rsidRPr="00C66FE4">
        <w:t xml:space="preserve">means Potential Conflict of Interest </w:t>
      </w:r>
      <w:r w:rsidR="006266EE" w:rsidRPr="00C66FE4">
        <w:t xml:space="preserve">disclosed pursuant to this rule </w:t>
      </w:r>
      <w:r w:rsidR="007415D1" w:rsidRPr="00C66FE4">
        <w:t xml:space="preserve">which </w:t>
      </w:r>
      <w:r w:rsidR="00AD0B22" w:rsidRPr="00C66FE4">
        <w:t>th</w:t>
      </w:r>
      <w:r w:rsidR="00794797" w:rsidRPr="00C66FE4">
        <w:t>e</w:t>
      </w:r>
      <w:r w:rsidR="001B66A6" w:rsidRPr="00C66FE4">
        <w:t xml:space="preserve"> Neutral Decisionmaker </w:t>
      </w:r>
      <w:r w:rsidR="007415D1" w:rsidRPr="00C66FE4">
        <w:t>has determined</w:t>
      </w:r>
      <w:r w:rsidR="001B66A6" w:rsidRPr="00C66FE4">
        <w:t xml:space="preserve"> constitute</w:t>
      </w:r>
      <w:r w:rsidR="00794797" w:rsidRPr="00C66FE4">
        <w:t>s</w:t>
      </w:r>
      <w:r w:rsidR="001B66A6" w:rsidRPr="00C66FE4">
        <w:t xml:space="preserve"> a </w:t>
      </w:r>
      <w:r w:rsidR="007415D1" w:rsidRPr="00C66FE4">
        <w:t>direct and substantial personal or pecuniary interest</w:t>
      </w:r>
      <w:r w:rsidR="001B66A6" w:rsidRPr="00C66FE4">
        <w:t>.</w:t>
      </w:r>
    </w:p>
    <w:p w14:paraId="7C305CA1" w14:textId="314C5382" w:rsidR="00C54A7F" w:rsidRPr="00C66FE4" w:rsidRDefault="00794797" w:rsidP="00E50B49">
      <w:pPr>
        <w:pStyle w:val="ListParagraph"/>
        <w:numPr>
          <w:ilvl w:val="0"/>
          <w:numId w:val="13"/>
        </w:numPr>
        <w:spacing w:line="480" w:lineRule="auto"/>
        <w:ind w:left="450" w:hanging="450"/>
        <w:jc w:val="both"/>
      </w:pPr>
      <w:r w:rsidRPr="00C66FE4">
        <w:t xml:space="preserve">A </w:t>
      </w:r>
      <w:r w:rsidR="001B66A6" w:rsidRPr="00C66FE4">
        <w:t xml:space="preserve">“Potential Conflict of Interest” </w:t>
      </w:r>
      <w:r w:rsidR="00415C47" w:rsidRPr="00C66FE4">
        <w:t>means</w:t>
      </w:r>
      <w:r w:rsidR="00A56953" w:rsidRPr="00C66FE4">
        <w:t xml:space="preserve"> </w:t>
      </w:r>
      <w:r w:rsidR="00E929FD" w:rsidRPr="00C66FE4">
        <w:t>a</w:t>
      </w:r>
      <w:r w:rsidR="00A56953" w:rsidRPr="00C66FE4">
        <w:t xml:space="preserve"> </w:t>
      </w:r>
      <w:r w:rsidR="00307F76" w:rsidRPr="00C66FE4">
        <w:t>Public Official</w:t>
      </w:r>
      <w:r w:rsidR="00A56953" w:rsidRPr="00C66FE4">
        <w:t xml:space="preserve"> as part of the </w:t>
      </w:r>
      <w:r w:rsidR="00307F76" w:rsidRPr="00C66FE4">
        <w:t>Public Official</w:t>
      </w:r>
      <w:r w:rsidR="00A56953" w:rsidRPr="00C66FE4">
        <w:t xml:space="preserve">’s duties must make a decision or take action in a matter in which the </w:t>
      </w:r>
      <w:r w:rsidR="00307F76" w:rsidRPr="00C66FE4">
        <w:t>Public Official</w:t>
      </w:r>
      <w:r w:rsidR="00A56953" w:rsidRPr="00C66FE4">
        <w:t xml:space="preserve"> </w:t>
      </w:r>
      <w:proofErr w:type="gramStart"/>
      <w:r w:rsidR="00A56953" w:rsidRPr="00C66FE4">
        <w:t>has</w:t>
      </w:r>
      <w:r w:rsidR="00A56953" w:rsidRPr="00C66FE4" w:rsidDel="00415C47">
        <w:t xml:space="preserve"> </w:t>
      </w:r>
      <w:r w:rsidR="00C54A7F" w:rsidRPr="00C66FE4">
        <w:t>:</w:t>
      </w:r>
      <w:proofErr w:type="gramEnd"/>
    </w:p>
    <w:p w14:paraId="373C8676" w14:textId="47A6D57F" w:rsidR="00347868" w:rsidRPr="00C66FE4" w:rsidRDefault="00E929FD" w:rsidP="00E50B49">
      <w:pPr>
        <w:pStyle w:val="ListParagraph"/>
        <w:numPr>
          <w:ilvl w:val="1"/>
          <w:numId w:val="13"/>
        </w:numPr>
        <w:spacing w:line="480" w:lineRule="auto"/>
        <w:jc w:val="both"/>
      </w:pPr>
      <w:r w:rsidRPr="00C66FE4">
        <w:t>R</w:t>
      </w:r>
      <w:r w:rsidR="00E95816" w:rsidRPr="00C66FE4">
        <w:t xml:space="preserve">eceived a </w:t>
      </w:r>
      <w:proofErr w:type="gramStart"/>
      <w:r w:rsidR="00E95816" w:rsidRPr="00C66FE4">
        <w:t>Gift;</w:t>
      </w:r>
      <w:proofErr w:type="gramEnd"/>
    </w:p>
    <w:p w14:paraId="7D281992" w14:textId="3CB79453" w:rsidR="00E95816" w:rsidRPr="00C66FE4" w:rsidRDefault="00794797" w:rsidP="00E50B49">
      <w:pPr>
        <w:pStyle w:val="ListParagraph"/>
        <w:numPr>
          <w:ilvl w:val="1"/>
          <w:numId w:val="13"/>
        </w:numPr>
        <w:spacing w:line="480" w:lineRule="auto"/>
        <w:jc w:val="both"/>
      </w:pPr>
      <w:r w:rsidRPr="00C66FE4">
        <w:lastRenderedPageBreak/>
        <w:t>A</w:t>
      </w:r>
      <w:r w:rsidR="00E95816" w:rsidRPr="00C66FE4">
        <w:t xml:space="preserve"> Significant Financial Interest; or</w:t>
      </w:r>
    </w:p>
    <w:p w14:paraId="521F7114" w14:textId="2D7A9426" w:rsidR="00347868" w:rsidRPr="00C66FE4" w:rsidRDefault="00040CF8" w:rsidP="00E50B49">
      <w:pPr>
        <w:pStyle w:val="ListParagraph"/>
        <w:numPr>
          <w:ilvl w:val="1"/>
          <w:numId w:val="13"/>
        </w:numPr>
        <w:spacing w:line="480" w:lineRule="auto"/>
        <w:jc w:val="both"/>
      </w:pPr>
      <w:r w:rsidRPr="00C66FE4">
        <w:t>A Relationship in Private Capacity.</w:t>
      </w:r>
      <w:r w:rsidR="009D1E75" w:rsidRPr="00C66FE4">
        <w:t xml:space="preserve"> </w:t>
      </w:r>
    </w:p>
    <w:p w14:paraId="5AADE420" w14:textId="69C20213" w:rsidR="00794606" w:rsidRPr="00C66FE4" w:rsidRDefault="008E7B63" w:rsidP="00021EAE">
      <w:pPr>
        <w:pStyle w:val="ListParagraph"/>
        <w:numPr>
          <w:ilvl w:val="0"/>
          <w:numId w:val="13"/>
        </w:numPr>
        <w:tabs>
          <w:tab w:val="left" w:pos="540"/>
        </w:tabs>
        <w:spacing w:line="480" w:lineRule="auto"/>
        <w:jc w:val="both"/>
      </w:pPr>
      <w:r w:rsidRPr="00C66FE4">
        <w:t>“Gift” means a gift not otherwise permitted under Article XIV of the North Dakota Constitution, N.D.C.C. Chapter 54-66, or N.D.A.C. Chapter 115-03-01</w:t>
      </w:r>
      <w:r w:rsidR="00021EAE" w:rsidRPr="00C66FE4">
        <w:t>.</w:t>
      </w:r>
    </w:p>
    <w:p w14:paraId="32D20EF0" w14:textId="5F35369D" w:rsidR="00C80B3D" w:rsidRPr="00C66FE4" w:rsidRDefault="008E7B63" w:rsidP="00E00E36">
      <w:pPr>
        <w:pStyle w:val="ListParagraph"/>
        <w:numPr>
          <w:ilvl w:val="0"/>
          <w:numId w:val="13"/>
        </w:numPr>
        <w:tabs>
          <w:tab w:val="left" w:pos="540"/>
        </w:tabs>
        <w:spacing w:line="480" w:lineRule="auto"/>
        <w:jc w:val="both"/>
      </w:pPr>
      <w:r w:rsidRPr="00C66FE4">
        <w:t xml:space="preserve">“Immediate Family” means a </w:t>
      </w:r>
      <w:r w:rsidR="00307F76" w:rsidRPr="00C66FE4">
        <w:t>Public Official</w:t>
      </w:r>
      <w:r w:rsidRPr="00C66FE4">
        <w:t xml:space="preserve">’s </w:t>
      </w:r>
      <w:r w:rsidR="005D517F" w:rsidRPr="00C66FE4">
        <w:t>parent,</w:t>
      </w:r>
      <w:r w:rsidRPr="00C66FE4">
        <w:t xml:space="preserve"> sibling, spouse</w:t>
      </w:r>
      <w:r w:rsidR="00E63FE8" w:rsidRPr="00C66FE4">
        <w:t xml:space="preserve">, </w:t>
      </w:r>
      <w:r w:rsidRPr="00C66FE4">
        <w:t xml:space="preserve">grandparent, grandchild, or child by blood or adoption or a </w:t>
      </w:r>
      <w:proofErr w:type="gramStart"/>
      <w:r w:rsidRPr="00C66FE4">
        <w:t>step</w:t>
      </w:r>
      <w:r w:rsidR="00E24081" w:rsidRPr="00C66FE4">
        <w:t>-</w:t>
      </w:r>
      <w:r w:rsidRPr="00C66FE4">
        <w:t>child</w:t>
      </w:r>
      <w:proofErr w:type="gramEnd"/>
      <w:r w:rsidRPr="00C66FE4">
        <w:t>.</w:t>
      </w:r>
    </w:p>
    <w:p w14:paraId="796136E5" w14:textId="23E82361" w:rsidR="008E7B63" w:rsidRPr="00C66FE4" w:rsidRDefault="00C71524" w:rsidP="00E00E36">
      <w:pPr>
        <w:pStyle w:val="ListParagraph"/>
        <w:numPr>
          <w:ilvl w:val="0"/>
          <w:numId w:val="13"/>
        </w:numPr>
        <w:tabs>
          <w:tab w:val="left" w:pos="540"/>
        </w:tabs>
        <w:spacing w:line="480" w:lineRule="auto"/>
        <w:jc w:val="both"/>
      </w:pPr>
      <w:r w:rsidRPr="00C66FE4">
        <w:t>“</w:t>
      </w:r>
      <w:r w:rsidR="008E7B63" w:rsidRPr="00C66FE4">
        <w:t>Neutral Decisionmaker</w:t>
      </w:r>
      <w:r w:rsidRPr="00C66FE4">
        <w:t>”</w:t>
      </w:r>
      <w:r w:rsidR="008E7B63" w:rsidRPr="00C66FE4">
        <w:t xml:space="preserve"> </w:t>
      </w:r>
      <w:r w:rsidR="00EC2B56" w:rsidRPr="00C66FE4">
        <w:t>means</w:t>
      </w:r>
      <w:r w:rsidR="00611A61" w:rsidRPr="00C66FE4">
        <w:t xml:space="preserve"> individuals</w:t>
      </w:r>
      <w:r w:rsidR="00EC2B56" w:rsidRPr="00C66FE4">
        <w:t xml:space="preserve"> who do not have a Potential Conflict of Interest as follows:</w:t>
      </w:r>
    </w:p>
    <w:p w14:paraId="5C5462A4" w14:textId="13787C27" w:rsidR="00EC2B56" w:rsidRPr="00C66FE4" w:rsidRDefault="00EC2B56" w:rsidP="00E00E36">
      <w:pPr>
        <w:pStyle w:val="ListParagraph"/>
        <w:numPr>
          <w:ilvl w:val="1"/>
          <w:numId w:val="13"/>
        </w:numPr>
        <w:tabs>
          <w:tab w:val="left" w:pos="540"/>
        </w:tabs>
        <w:spacing w:line="480" w:lineRule="auto"/>
        <w:jc w:val="both"/>
      </w:pPr>
      <w:r w:rsidRPr="00C66FE4">
        <w:t xml:space="preserve">If a </w:t>
      </w:r>
      <w:r w:rsidR="00307F76" w:rsidRPr="00C66FE4">
        <w:t>Public Official</w:t>
      </w:r>
      <w:r w:rsidR="00611A61" w:rsidRPr="00C66FE4">
        <w:t xml:space="preserve"> </w:t>
      </w:r>
      <w:r w:rsidRPr="00C66FE4">
        <w:t>with a Potential Conflict of Interest is a member of a legislative body, board, commission or committee, the remaining individuals who are members of the legislative body, board</w:t>
      </w:r>
      <w:r w:rsidR="00C6184D">
        <w:t>,</w:t>
      </w:r>
      <w:r w:rsidRPr="00C66FE4">
        <w:t xml:space="preserve"> commission or committee shall be considered as </w:t>
      </w:r>
      <w:r w:rsidR="00611A61" w:rsidRPr="00C66FE4">
        <w:t xml:space="preserve">the </w:t>
      </w:r>
      <w:r w:rsidRPr="00C66FE4">
        <w:t>Neutral Decisionmaker</w:t>
      </w:r>
      <w:r w:rsidR="00C71524" w:rsidRPr="00C66FE4">
        <w:t>(s</w:t>
      </w:r>
      <w:proofErr w:type="gramStart"/>
      <w:r w:rsidR="00C71524" w:rsidRPr="00C66FE4">
        <w:t>)</w:t>
      </w:r>
      <w:r w:rsidRPr="00C66FE4">
        <w:t>;</w:t>
      </w:r>
      <w:proofErr w:type="gramEnd"/>
    </w:p>
    <w:p w14:paraId="1FF4E43C" w14:textId="09E29F7B" w:rsidR="00EC2B56" w:rsidRPr="00C66FE4" w:rsidRDefault="00EC2B56" w:rsidP="00E00E36">
      <w:pPr>
        <w:pStyle w:val="ListParagraph"/>
        <w:numPr>
          <w:ilvl w:val="1"/>
          <w:numId w:val="13"/>
        </w:numPr>
        <w:tabs>
          <w:tab w:val="left" w:pos="540"/>
        </w:tabs>
        <w:spacing w:line="480" w:lineRule="auto"/>
        <w:jc w:val="both"/>
      </w:pPr>
      <w:r w:rsidRPr="00C66FE4">
        <w:t xml:space="preserve">If a </w:t>
      </w:r>
      <w:r w:rsidR="00307F76" w:rsidRPr="00C66FE4">
        <w:t>Public Official</w:t>
      </w:r>
      <w:r w:rsidRPr="00C66FE4">
        <w:t xml:space="preserve"> with a Potential Conflict of Interest is an employee of the legislature, the </w:t>
      </w:r>
      <w:r w:rsidR="00307F76" w:rsidRPr="00C66FE4">
        <w:t>Public Official</w:t>
      </w:r>
      <w:r w:rsidRPr="00C66FE4">
        <w:t>’s supervisor shall be considered as the Neutral Decisionmaker</w:t>
      </w:r>
      <w:r w:rsidR="007A3A9E">
        <w:t>(s</w:t>
      </w:r>
      <w:proofErr w:type="gramStart"/>
      <w:r w:rsidR="007A3A9E">
        <w:t>)</w:t>
      </w:r>
      <w:r w:rsidR="00E81FB4" w:rsidRPr="00C66FE4">
        <w:t>;</w:t>
      </w:r>
      <w:proofErr w:type="gramEnd"/>
    </w:p>
    <w:p w14:paraId="40C3F9A3" w14:textId="2BA8BB8E" w:rsidR="00EC2B56" w:rsidRPr="00C66FE4" w:rsidRDefault="00EC2B56" w:rsidP="00E00E36">
      <w:pPr>
        <w:pStyle w:val="ListParagraph"/>
        <w:numPr>
          <w:ilvl w:val="1"/>
          <w:numId w:val="13"/>
        </w:numPr>
        <w:tabs>
          <w:tab w:val="left" w:pos="540"/>
        </w:tabs>
        <w:spacing w:line="480" w:lineRule="auto"/>
        <w:jc w:val="both"/>
      </w:pPr>
      <w:r w:rsidRPr="00C66FE4">
        <w:t xml:space="preserve">If a </w:t>
      </w:r>
      <w:r w:rsidR="00307F76" w:rsidRPr="00C66FE4">
        <w:t>Public Official</w:t>
      </w:r>
      <w:r w:rsidR="00107E59" w:rsidRPr="00C66FE4">
        <w:t xml:space="preserve"> with a Po</w:t>
      </w:r>
      <w:r w:rsidR="005D517F" w:rsidRPr="00C66FE4">
        <w:t>t</w:t>
      </w:r>
      <w:r w:rsidR="00107E59" w:rsidRPr="00C66FE4">
        <w:t>ential Conflict of Interest is a member of the Governor’s cabinet, the Governor’s designated ethics officer shall be con</w:t>
      </w:r>
      <w:r w:rsidR="005D517F" w:rsidRPr="00C66FE4">
        <w:t>sid</w:t>
      </w:r>
      <w:r w:rsidR="00107E59" w:rsidRPr="00C66FE4">
        <w:t>ered as the Neutral Decisionmaker</w:t>
      </w:r>
      <w:r w:rsidR="007A3A9E">
        <w:t>(s)</w:t>
      </w:r>
      <w:r w:rsidR="00107E59" w:rsidRPr="00C66FE4">
        <w:t>; or</w:t>
      </w:r>
    </w:p>
    <w:p w14:paraId="6456420F" w14:textId="4534F4D3" w:rsidR="004C4FF3" w:rsidRPr="00C66FE4" w:rsidRDefault="00F9505F" w:rsidP="00E00E36">
      <w:pPr>
        <w:pStyle w:val="ListParagraph"/>
        <w:numPr>
          <w:ilvl w:val="1"/>
          <w:numId w:val="13"/>
        </w:numPr>
        <w:tabs>
          <w:tab w:val="left" w:pos="540"/>
        </w:tabs>
        <w:spacing w:line="480" w:lineRule="auto"/>
        <w:jc w:val="both"/>
      </w:pPr>
      <w:r w:rsidRPr="00C66FE4">
        <w:t xml:space="preserve">If </w:t>
      </w:r>
      <w:r w:rsidR="00C71524" w:rsidRPr="00C66FE4">
        <w:t>the</w:t>
      </w:r>
      <w:r w:rsidRPr="00C66FE4">
        <w:t xml:space="preserve"> </w:t>
      </w:r>
      <w:r w:rsidR="00307F76" w:rsidRPr="00C66FE4">
        <w:t>Public Official</w:t>
      </w:r>
      <w:r w:rsidRPr="00C66FE4">
        <w:t xml:space="preserve"> with a Potential Conflict of Interest is an appointed </w:t>
      </w:r>
      <w:r w:rsidR="00307F76" w:rsidRPr="00C66FE4">
        <w:t>Public Official</w:t>
      </w:r>
      <w:r w:rsidRPr="00C66FE4">
        <w:t>, the appointing official shall be considered as the Neutral Decisionmaker</w:t>
      </w:r>
      <w:r w:rsidR="007A3A9E">
        <w:t>(s)</w:t>
      </w:r>
      <w:r w:rsidRPr="00C66FE4">
        <w:t>.</w:t>
      </w:r>
    </w:p>
    <w:p w14:paraId="2189F62A" w14:textId="3D050403" w:rsidR="00F9505F" w:rsidRPr="00C66FE4" w:rsidRDefault="00AF0346" w:rsidP="00E00E36">
      <w:pPr>
        <w:pStyle w:val="ListParagraph"/>
        <w:numPr>
          <w:ilvl w:val="0"/>
          <w:numId w:val="13"/>
        </w:numPr>
        <w:tabs>
          <w:tab w:val="left" w:pos="180"/>
          <w:tab w:val="left" w:pos="270"/>
          <w:tab w:val="left" w:pos="540"/>
          <w:tab w:val="left" w:pos="630"/>
          <w:tab w:val="left" w:pos="1440"/>
        </w:tabs>
        <w:spacing w:line="480" w:lineRule="auto"/>
        <w:jc w:val="both"/>
      </w:pPr>
      <w:bookmarkStart w:id="4" w:name="_Hlk93545540"/>
      <w:r w:rsidRPr="00C66FE4">
        <w:t xml:space="preserve">   </w:t>
      </w:r>
      <w:r w:rsidR="00F9505F" w:rsidRPr="00C66FE4">
        <w:t>“</w:t>
      </w:r>
      <w:r w:rsidR="00307F76" w:rsidRPr="00C66FE4">
        <w:t>Public Official</w:t>
      </w:r>
      <w:r w:rsidR="00F9505F" w:rsidRPr="00C66FE4">
        <w:t>” means any elected or appointed official of the North Dakota executive or legislative branches, including members of the Ethics Commission, members of the Governor’s cabinet and employees of the legislative branch.</w:t>
      </w:r>
    </w:p>
    <w:bookmarkEnd w:id="4"/>
    <w:p w14:paraId="7EB9A895" w14:textId="7148FB83" w:rsidR="00F9505F" w:rsidRPr="00C66FE4" w:rsidRDefault="00F9505F" w:rsidP="00AF0346">
      <w:pPr>
        <w:pStyle w:val="ListParagraph"/>
        <w:numPr>
          <w:ilvl w:val="0"/>
          <w:numId w:val="13"/>
        </w:numPr>
        <w:tabs>
          <w:tab w:val="left" w:pos="540"/>
        </w:tabs>
        <w:spacing w:line="480" w:lineRule="auto"/>
        <w:jc w:val="both"/>
      </w:pPr>
      <w:r w:rsidRPr="00C66FE4">
        <w:t xml:space="preserve">“Relationship in a Private Capacity” means a commitment, </w:t>
      </w:r>
      <w:proofErr w:type="gramStart"/>
      <w:r w:rsidRPr="00C66FE4">
        <w:t>interest</w:t>
      </w:r>
      <w:proofErr w:type="gramEnd"/>
      <w:r w:rsidRPr="00C66FE4">
        <w:t xml:space="preserve"> or relationship of the </w:t>
      </w:r>
      <w:r w:rsidR="00307F76" w:rsidRPr="00C66FE4">
        <w:t>Public Official</w:t>
      </w:r>
      <w:r w:rsidRPr="00C66FE4">
        <w:t xml:space="preserve"> in a matter involving the </w:t>
      </w:r>
      <w:r w:rsidR="00307F76" w:rsidRPr="00C66FE4">
        <w:t>Public Official</w:t>
      </w:r>
      <w:r w:rsidRPr="00C66FE4">
        <w:t>’s immediate family, in</w:t>
      </w:r>
      <w:r w:rsidR="001B1387" w:rsidRPr="00C66FE4">
        <w:t xml:space="preserve">dividual’s residing in the </w:t>
      </w:r>
      <w:r w:rsidR="00307F76" w:rsidRPr="00C66FE4">
        <w:t xml:space="preserve">Public </w:t>
      </w:r>
      <w:r w:rsidR="00307F76" w:rsidRPr="00C66FE4">
        <w:lastRenderedPageBreak/>
        <w:t>Official</w:t>
      </w:r>
      <w:r w:rsidR="001B1387" w:rsidRPr="00C66FE4">
        <w:t xml:space="preserve">’s household, the </w:t>
      </w:r>
      <w:r w:rsidR="00307F76" w:rsidRPr="00C66FE4">
        <w:t>Public Official</w:t>
      </w:r>
      <w:r w:rsidR="001B1387" w:rsidRPr="00C66FE4">
        <w:t xml:space="preserve">’s employer or employer of the </w:t>
      </w:r>
      <w:r w:rsidR="00307F76" w:rsidRPr="00C66FE4">
        <w:t>Public Official</w:t>
      </w:r>
      <w:r w:rsidR="005423DB" w:rsidRPr="00C66FE4">
        <w:t>’</w:t>
      </w:r>
      <w:r w:rsidR="001B1387" w:rsidRPr="00C66FE4">
        <w:t xml:space="preserve">s immediate family, or individuals with whom the </w:t>
      </w:r>
      <w:r w:rsidR="00307F76" w:rsidRPr="00C66FE4">
        <w:t>Public Official</w:t>
      </w:r>
      <w:r w:rsidR="001B1387" w:rsidRPr="00C66FE4">
        <w:t xml:space="preserve"> has a substantial and continuous business relationship.</w:t>
      </w:r>
    </w:p>
    <w:p w14:paraId="3581122B" w14:textId="2B51E2BC" w:rsidR="001B1387" w:rsidRPr="00C66FE4" w:rsidRDefault="001B1387" w:rsidP="004D7B1B">
      <w:pPr>
        <w:pStyle w:val="ListParagraph"/>
        <w:numPr>
          <w:ilvl w:val="0"/>
          <w:numId w:val="13"/>
        </w:numPr>
        <w:tabs>
          <w:tab w:val="left" w:pos="540"/>
        </w:tabs>
        <w:spacing w:line="480" w:lineRule="auto"/>
        <w:jc w:val="both"/>
      </w:pPr>
      <w:r w:rsidRPr="00C66FE4">
        <w:t xml:space="preserve">“Significant Financial Interest” means </w:t>
      </w:r>
      <w:r w:rsidR="001B0600" w:rsidRPr="00C66FE4">
        <w:t>a</w:t>
      </w:r>
      <w:r w:rsidR="00CC4316" w:rsidRPr="00C66FE4">
        <w:t>n in-kind or monetary</w:t>
      </w:r>
      <w:r w:rsidR="007F1D7B" w:rsidRPr="00C66FE4">
        <w:t xml:space="preserve"> interest</w:t>
      </w:r>
      <w:r w:rsidR="001B0600" w:rsidRPr="00C66FE4">
        <w:t xml:space="preserve">, or its equivalent, not shared by the general public, </w:t>
      </w:r>
      <w:r w:rsidR="00CC4316" w:rsidRPr="00C66FE4">
        <w:t xml:space="preserve">however, </w:t>
      </w:r>
      <w:r w:rsidR="001B0600" w:rsidRPr="00C66FE4">
        <w:t>does not include</w:t>
      </w:r>
      <w:r w:rsidR="007F1D7B" w:rsidRPr="00C66FE4">
        <w:t xml:space="preserve"> </w:t>
      </w:r>
      <w:proofErr w:type="gramStart"/>
      <w:r w:rsidR="007F1D7B" w:rsidRPr="00C66FE4">
        <w:t>a</w:t>
      </w:r>
      <w:proofErr w:type="gramEnd"/>
      <w:r w:rsidR="007F1D7B" w:rsidRPr="00C66FE4">
        <w:t xml:space="preserve"> </w:t>
      </w:r>
      <w:r w:rsidR="00CC4316" w:rsidRPr="00C66FE4">
        <w:t>investments in a diversified mutual fund or participation in a public employee benefits plan.</w:t>
      </w:r>
    </w:p>
    <w:p w14:paraId="71B07D2A" w14:textId="2EADF6A0" w:rsidR="00C80B3D" w:rsidRPr="004B6DA1" w:rsidRDefault="00C80B3D" w:rsidP="00E50B49">
      <w:pPr>
        <w:pStyle w:val="NoSpacing"/>
        <w:spacing w:line="480" w:lineRule="auto"/>
        <w:jc w:val="both"/>
        <w:rPr>
          <w:b/>
          <w:bCs/>
        </w:rPr>
      </w:pPr>
      <w:bookmarkStart w:id="5" w:name="_Hlk73611920"/>
      <w:r w:rsidRPr="004B6DA1">
        <w:rPr>
          <w:b/>
          <w:bCs/>
        </w:rPr>
        <w:t>115-04-01-02</w:t>
      </w:r>
      <w:r w:rsidRPr="004B6DA1">
        <w:rPr>
          <w:b/>
          <w:bCs/>
        </w:rPr>
        <w:tab/>
        <w:t xml:space="preserve">Disclosure of </w:t>
      </w:r>
      <w:r w:rsidR="001B1387" w:rsidRPr="004B6DA1">
        <w:rPr>
          <w:b/>
          <w:bCs/>
        </w:rPr>
        <w:t xml:space="preserve">Potential </w:t>
      </w:r>
      <w:r w:rsidRPr="004B6DA1">
        <w:rPr>
          <w:b/>
          <w:bCs/>
        </w:rPr>
        <w:t>Conflict of Interests</w:t>
      </w:r>
    </w:p>
    <w:p w14:paraId="62DB2573" w14:textId="6DFFFD7D" w:rsidR="00B70A92" w:rsidRPr="00C66FE4" w:rsidRDefault="00B70A92" w:rsidP="00551C93">
      <w:pPr>
        <w:pStyle w:val="NoSpacing"/>
        <w:numPr>
          <w:ilvl w:val="0"/>
          <w:numId w:val="33"/>
        </w:numPr>
        <w:spacing w:line="480" w:lineRule="auto"/>
        <w:ind w:left="360"/>
        <w:jc w:val="both"/>
      </w:pPr>
      <w:r w:rsidRPr="00C66FE4">
        <w:t xml:space="preserve">When a matter comes before a Public Official and the Public Official has a Potential Conflict of Interest, the Public Official must disclose the Potential Conflict of Interest to the appropriate Neutral Decisionmaker. </w:t>
      </w:r>
      <w:r w:rsidR="007A3A9E">
        <w:t xml:space="preserve">The disclosure of Potential </w:t>
      </w:r>
      <w:r w:rsidR="00CF5237">
        <w:t xml:space="preserve">Conflict of Interest must be made prior to the Public Official taking any action or making any decision in the matter. </w:t>
      </w:r>
      <w:r w:rsidRPr="00C66FE4">
        <w:t>The disclosure must provide sufficient information concerning the matter and the Public Official’s</w:t>
      </w:r>
      <w:r w:rsidR="008C69D6" w:rsidRPr="00C66FE4">
        <w:t xml:space="preserve"> Potential Conflict of Interest. The Neutral Decisionmaker shall determine if the disclosure shall be made verbally or in writing. The public Official shall take no action in the matter until the Neutral Decisionmaker has </w:t>
      </w:r>
      <w:proofErr w:type="gramStart"/>
      <w:r w:rsidR="008C69D6" w:rsidRPr="00C66FE4">
        <w:t>made a determination</w:t>
      </w:r>
      <w:proofErr w:type="gramEnd"/>
      <w:r w:rsidR="008C69D6" w:rsidRPr="00C66FE4">
        <w:t xml:space="preserve"> on the Potential Conflict of Interest.</w:t>
      </w:r>
    </w:p>
    <w:bookmarkEnd w:id="5"/>
    <w:p w14:paraId="14565BA9" w14:textId="45F2A064" w:rsidR="00E84F99" w:rsidRPr="00C66FE4" w:rsidRDefault="00560A65" w:rsidP="00551C93">
      <w:pPr>
        <w:pStyle w:val="NoSpacing"/>
        <w:numPr>
          <w:ilvl w:val="0"/>
          <w:numId w:val="33"/>
        </w:numPr>
        <w:spacing w:line="480" w:lineRule="auto"/>
        <w:ind w:left="360"/>
        <w:jc w:val="both"/>
      </w:pPr>
      <w:r w:rsidRPr="00C66FE4">
        <w:t>In an emergency or other exigent circumstances</w:t>
      </w:r>
      <w:r w:rsidR="00D60EEC" w:rsidRPr="00C66FE4">
        <w:t xml:space="preserve"> where time is of the essence</w:t>
      </w:r>
      <w:r w:rsidRPr="00C66FE4">
        <w:t>,</w:t>
      </w:r>
      <w:r w:rsidR="00D60EEC" w:rsidRPr="00C66FE4">
        <w:t xml:space="preserve"> and</w:t>
      </w:r>
      <w:r w:rsidRPr="00C66FE4">
        <w:t xml:space="preserve"> a </w:t>
      </w:r>
      <w:r w:rsidR="00E6081B" w:rsidRPr="00C66FE4">
        <w:t>P</w:t>
      </w:r>
      <w:r w:rsidRPr="00C66FE4">
        <w:t xml:space="preserve">ublic </w:t>
      </w:r>
      <w:r w:rsidR="00E6081B" w:rsidRPr="00C66FE4">
        <w:t>O</w:t>
      </w:r>
      <w:r w:rsidRPr="00C66FE4">
        <w:t xml:space="preserve">fficial is not permitted or is otherwise unable to abstain from action in connection with the matter, the </w:t>
      </w:r>
      <w:r w:rsidR="00DD1014" w:rsidRPr="00C66FE4">
        <w:t>P</w:t>
      </w:r>
      <w:r w:rsidRPr="00C66FE4">
        <w:t xml:space="preserve">ublic </w:t>
      </w:r>
      <w:r w:rsidR="00DD1014" w:rsidRPr="00C66FE4">
        <w:t>O</w:t>
      </w:r>
      <w:r w:rsidRPr="00C66FE4">
        <w:t>fficial must</w:t>
      </w:r>
      <w:r w:rsidR="00DD1014" w:rsidRPr="00C66FE4">
        <w:t xml:space="preserve"> disclose the Potential Conflict of Interest</w:t>
      </w:r>
      <w:r w:rsidR="0024783B" w:rsidRPr="00C66FE4">
        <w:t xml:space="preserve"> and the action</w:t>
      </w:r>
      <w:r w:rsidRPr="00C66FE4">
        <w:t xml:space="preserve"> with the Neutral Decisionmaker</w:t>
      </w:r>
      <w:r w:rsidR="0024783B" w:rsidRPr="00C66FE4">
        <w:t xml:space="preserve"> in the manner requested by the Neutral Decisionmaker</w:t>
      </w:r>
      <w:r w:rsidRPr="00C66FE4">
        <w:t xml:space="preserve">. The </w:t>
      </w:r>
      <w:r w:rsidR="0024783B" w:rsidRPr="00C66FE4">
        <w:t xml:space="preserve">disclosure </w:t>
      </w:r>
      <w:r w:rsidRPr="00C66FE4">
        <w:t xml:space="preserve">must </w:t>
      </w:r>
      <w:r w:rsidR="0024783B" w:rsidRPr="00C66FE4">
        <w:t>occur</w:t>
      </w:r>
      <w:r w:rsidRPr="00C66FE4">
        <w:t xml:space="preserve"> within 7 days of the </w:t>
      </w:r>
      <w:r w:rsidR="0024783B" w:rsidRPr="00C66FE4">
        <w:t>P</w:t>
      </w:r>
      <w:r w:rsidRPr="00C66FE4">
        <w:t xml:space="preserve">ublic </w:t>
      </w:r>
      <w:r w:rsidR="0024783B" w:rsidRPr="00C66FE4">
        <w:t>O</w:t>
      </w:r>
      <w:r w:rsidRPr="00C66FE4">
        <w:t>fficial’s action in the matter.</w:t>
      </w:r>
    </w:p>
    <w:p w14:paraId="05F492D7" w14:textId="698DF0AD" w:rsidR="00E00E36" w:rsidRPr="00C66FE4" w:rsidRDefault="00E446A4" w:rsidP="00551C93">
      <w:pPr>
        <w:pStyle w:val="NoSpacing"/>
        <w:numPr>
          <w:ilvl w:val="0"/>
          <w:numId w:val="33"/>
        </w:numPr>
        <w:spacing w:line="480" w:lineRule="auto"/>
        <w:ind w:left="360"/>
        <w:jc w:val="both"/>
      </w:pPr>
      <w:r w:rsidRPr="00C66FE4">
        <w:t>Upon the completion of the</w:t>
      </w:r>
      <w:r w:rsidR="00165306" w:rsidRPr="00C66FE4">
        <w:t xml:space="preserve"> </w:t>
      </w:r>
      <w:r w:rsidR="008C69D6" w:rsidRPr="00C66FE4">
        <w:t>required</w:t>
      </w:r>
      <w:r w:rsidR="007359F8" w:rsidRPr="00C66FE4">
        <w:t xml:space="preserve"> </w:t>
      </w:r>
      <w:r w:rsidRPr="00C66FE4">
        <w:t xml:space="preserve">disclosure of a Potential Conflict of Interest, the </w:t>
      </w:r>
      <w:r w:rsidR="00165306" w:rsidRPr="00C66FE4">
        <w:t>P</w:t>
      </w:r>
      <w:r w:rsidRPr="00C66FE4">
        <w:t xml:space="preserve">ublic </w:t>
      </w:r>
      <w:r w:rsidR="00165306" w:rsidRPr="00C66FE4">
        <w:t>O</w:t>
      </w:r>
      <w:r w:rsidRPr="00C66FE4">
        <w:t>fficial may voluntarily recuse himself</w:t>
      </w:r>
      <w:r w:rsidR="00165306" w:rsidRPr="00C66FE4">
        <w:t xml:space="preserve"> </w:t>
      </w:r>
      <w:r w:rsidRPr="00C66FE4">
        <w:t xml:space="preserve">and abstain from further action in the matter. If the </w:t>
      </w:r>
      <w:r w:rsidR="00165306" w:rsidRPr="00C66FE4">
        <w:t>P</w:t>
      </w:r>
      <w:r w:rsidRPr="00C66FE4">
        <w:t xml:space="preserve">ublic </w:t>
      </w:r>
      <w:r w:rsidR="00165306" w:rsidRPr="00C66FE4">
        <w:t>O</w:t>
      </w:r>
      <w:r w:rsidRPr="00C66FE4">
        <w:t xml:space="preserve">fficial voluntarily recuses himself and abstains from further action in the matter, the Neutral </w:t>
      </w:r>
      <w:r w:rsidRPr="00C66FE4">
        <w:lastRenderedPageBreak/>
        <w:t>Deci</w:t>
      </w:r>
      <w:r w:rsidR="003148C7" w:rsidRPr="00C66FE4">
        <w:t>si</w:t>
      </w:r>
      <w:r w:rsidRPr="00C66FE4">
        <w:t xml:space="preserve">onmaker shall make take </w:t>
      </w:r>
      <w:r w:rsidR="007359F8" w:rsidRPr="00C66FE4">
        <w:t xml:space="preserve">the decision or </w:t>
      </w:r>
      <w:proofErr w:type="gramStart"/>
      <w:r w:rsidR="007359F8" w:rsidRPr="00C66FE4">
        <w:t xml:space="preserve">take </w:t>
      </w:r>
      <w:r w:rsidRPr="00C66FE4">
        <w:t>action</w:t>
      </w:r>
      <w:proofErr w:type="gramEnd"/>
      <w:r w:rsidRPr="00C66FE4">
        <w:t xml:space="preserve"> in the matter or designate an alternative </w:t>
      </w:r>
      <w:r w:rsidR="00165306" w:rsidRPr="00C66FE4">
        <w:t>P</w:t>
      </w:r>
      <w:r w:rsidRPr="00C66FE4">
        <w:t xml:space="preserve">ublic </w:t>
      </w:r>
      <w:r w:rsidR="00165306" w:rsidRPr="00C66FE4">
        <w:t>O</w:t>
      </w:r>
      <w:r w:rsidRPr="00C66FE4">
        <w:t>fficial to take action in the matter</w:t>
      </w:r>
      <w:r w:rsidR="003148C7" w:rsidRPr="00C66FE4">
        <w:t>.</w:t>
      </w:r>
    </w:p>
    <w:p w14:paraId="055702C1" w14:textId="77777777" w:rsidR="00551C93" w:rsidRPr="00C66FE4" w:rsidRDefault="00551C93" w:rsidP="00551C93">
      <w:pPr>
        <w:pStyle w:val="NoSpacing"/>
        <w:spacing w:line="480" w:lineRule="auto"/>
        <w:ind w:left="360"/>
        <w:jc w:val="both"/>
      </w:pPr>
    </w:p>
    <w:p w14:paraId="1F33FC9F" w14:textId="2FF8D1F0" w:rsidR="0077408F" w:rsidRPr="004B6DA1" w:rsidRDefault="0077408F" w:rsidP="00E50B49">
      <w:pPr>
        <w:pStyle w:val="NoSpacing"/>
        <w:spacing w:line="480" w:lineRule="auto"/>
        <w:jc w:val="both"/>
        <w:rPr>
          <w:b/>
          <w:bCs/>
        </w:rPr>
      </w:pPr>
      <w:bookmarkStart w:id="6" w:name="_Hlk75951005"/>
      <w:r w:rsidRPr="004B6DA1">
        <w:rPr>
          <w:b/>
          <w:bCs/>
        </w:rPr>
        <w:t>115-04-01-03</w:t>
      </w:r>
      <w:r w:rsidRPr="004B6DA1">
        <w:rPr>
          <w:b/>
          <w:bCs/>
        </w:rPr>
        <w:tab/>
      </w:r>
      <w:r w:rsidR="003148C7" w:rsidRPr="004B6DA1">
        <w:rPr>
          <w:b/>
          <w:bCs/>
        </w:rPr>
        <w:t>Neutral Decisionmaker(s) Review of Potential Conflict Disclosures, Decision and Action</w:t>
      </w:r>
    </w:p>
    <w:bookmarkEnd w:id="6"/>
    <w:p w14:paraId="1C0CF229" w14:textId="40E9FCED" w:rsidR="0077408F" w:rsidRPr="00C66FE4" w:rsidRDefault="00B96C54" w:rsidP="00E50B49">
      <w:pPr>
        <w:pStyle w:val="ListParagraph"/>
        <w:numPr>
          <w:ilvl w:val="0"/>
          <w:numId w:val="24"/>
        </w:numPr>
        <w:tabs>
          <w:tab w:val="left" w:pos="540"/>
        </w:tabs>
        <w:spacing w:line="480" w:lineRule="auto"/>
        <w:ind w:left="360"/>
        <w:jc w:val="both"/>
      </w:pPr>
      <w:r w:rsidRPr="00C66FE4">
        <w:t xml:space="preserve">Upon </w:t>
      </w:r>
      <w:r w:rsidR="00F62E5A" w:rsidRPr="00C66FE4">
        <w:t xml:space="preserve">receipt of a Public Official’s </w:t>
      </w:r>
      <w:r w:rsidRPr="00C66FE4">
        <w:t>disclosure of a Potential Conflict of Interest, the Neutral Decisionmaker</w:t>
      </w:r>
      <w:r w:rsidR="00B661D0" w:rsidRPr="00C66FE4">
        <w:t xml:space="preserve"> shall review the disclosure, may request further information from the </w:t>
      </w:r>
      <w:r w:rsidR="00756D78" w:rsidRPr="00C66FE4">
        <w:t>P</w:t>
      </w:r>
      <w:r w:rsidR="00B661D0" w:rsidRPr="00C66FE4">
        <w:t xml:space="preserve">ublic </w:t>
      </w:r>
      <w:r w:rsidR="00756D78" w:rsidRPr="00C66FE4">
        <w:t>O</w:t>
      </w:r>
      <w:r w:rsidR="00B661D0" w:rsidRPr="00C66FE4">
        <w:t xml:space="preserve">fficial regarding the </w:t>
      </w:r>
      <w:r w:rsidR="00F62E5A" w:rsidRPr="00C66FE4">
        <w:t xml:space="preserve">disclosure, </w:t>
      </w:r>
      <w:r w:rsidR="00B661D0" w:rsidRPr="00C66FE4">
        <w:t>and shall determine if the</w:t>
      </w:r>
      <w:r w:rsidR="00860940" w:rsidRPr="00C66FE4">
        <w:t xml:space="preserve"> disclosed</w:t>
      </w:r>
      <w:r w:rsidR="00B661D0" w:rsidRPr="00C66FE4">
        <w:t xml:space="preserve"> Potential Conflict of Interest constitutes </w:t>
      </w:r>
      <w:r w:rsidR="00B4200C" w:rsidRPr="00C66FE4">
        <w:t>a Disqualifying Conflict of Interest.</w:t>
      </w:r>
    </w:p>
    <w:p w14:paraId="3EE6132E" w14:textId="01D9DD1D" w:rsidR="0077408F" w:rsidRPr="00C66FE4" w:rsidRDefault="00B661D0" w:rsidP="00E50B49">
      <w:pPr>
        <w:pStyle w:val="ListParagraph"/>
        <w:numPr>
          <w:ilvl w:val="0"/>
          <w:numId w:val="24"/>
        </w:numPr>
        <w:spacing w:line="480" w:lineRule="auto"/>
        <w:ind w:left="450"/>
        <w:jc w:val="both"/>
      </w:pPr>
      <w:r w:rsidRPr="00C66FE4">
        <w:t>Upon completion of the review of the Potential Conflict of Interest, the Neutral Decisionmake</w:t>
      </w:r>
      <w:r w:rsidR="009E414A" w:rsidRPr="00C66FE4">
        <w:t>r</w:t>
      </w:r>
      <w:r w:rsidRPr="00C66FE4">
        <w:t xml:space="preserve"> shall communicate to the </w:t>
      </w:r>
      <w:r w:rsidR="009E414A" w:rsidRPr="00C66FE4">
        <w:t>P</w:t>
      </w:r>
      <w:r w:rsidR="006C3136" w:rsidRPr="00C66FE4">
        <w:t>ublic</w:t>
      </w:r>
      <w:r w:rsidRPr="00C66FE4">
        <w:t xml:space="preserve"> </w:t>
      </w:r>
      <w:r w:rsidR="009E414A" w:rsidRPr="00C66FE4">
        <w:t>O</w:t>
      </w:r>
      <w:r w:rsidRPr="00C66FE4">
        <w:t xml:space="preserve">fficial </w:t>
      </w:r>
      <w:r w:rsidR="00052A74" w:rsidRPr="00C66FE4">
        <w:t>one of the</w:t>
      </w:r>
      <w:r w:rsidRPr="00C66FE4">
        <w:t xml:space="preserve"> following:</w:t>
      </w:r>
    </w:p>
    <w:p w14:paraId="32C4B0E4" w14:textId="02A92F84" w:rsidR="00B661D0" w:rsidRPr="00C66FE4" w:rsidRDefault="00582681" w:rsidP="00B661D0">
      <w:pPr>
        <w:pStyle w:val="ListParagraph"/>
        <w:numPr>
          <w:ilvl w:val="1"/>
          <w:numId w:val="21"/>
        </w:numPr>
        <w:spacing w:line="480" w:lineRule="auto"/>
        <w:jc w:val="both"/>
      </w:pPr>
      <w:r w:rsidRPr="00C66FE4">
        <w:t>If the Neutral Decisionmaker conclude</w:t>
      </w:r>
      <w:r w:rsidR="009E414A" w:rsidRPr="00C66FE4">
        <w:t>s</w:t>
      </w:r>
      <w:r w:rsidRPr="00C66FE4">
        <w:t xml:space="preserve"> that the Potential Conflict of Interest does not constitute </w:t>
      </w:r>
      <w:r w:rsidR="00EF3993" w:rsidRPr="00C66FE4">
        <w:t>a Disqualifying Conflict of Interest</w:t>
      </w:r>
      <w:r w:rsidRPr="00C66FE4">
        <w:t xml:space="preserve">, the </w:t>
      </w:r>
      <w:r w:rsidR="00000483" w:rsidRPr="00C66FE4">
        <w:t>P</w:t>
      </w:r>
      <w:r w:rsidRPr="00C66FE4">
        <w:t xml:space="preserve">ublic </w:t>
      </w:r>
      <w:r w:rsidR="00000483" w:rsidRPr="00C66FE4">
        <w:t>O</w:t>
      </w:r>
      <w:r w:rsidRPr="00C66FE4">
        <w:t>fficial ma</w:t>
      </w:r>
      <w:r w:rsidR="00161C48" w:rsidRPr="00C66FE4">
        <w:t xml:space="preserve">y </w:t>
      </w:r>
      <w:r w:rsidR="00000483" w:rsidRPr="00C66FE4">
        <w:t>participate in the matter</w:t>
      </w:r>
      <w:r w:rsidRPr="00C66FE4">
        <w:t>.</w:t>
      </w:r>
    </w:p>
    <w:p w14:paraId="347DDBF5" w14:textId="61019985" w:rsidR="00403540" w:rsidRPr="00C66FE4" w:rsidRDefault="00582681" w:rsidP="00403540">
      <w:pPr>
        <w:pStyle w:val="ListParagraph"/>
        <w:numPr>
          <w:ilvl w:val="1"/>
          <w:numId w:val="21"/>
        </w:numPr>
        <w:tabs>
          <w:tab w:val="left" w:pos="1080"/>
        </w:tabs>
        <w:spacing w:line="480" w:lineRule="auto"/>
        <w:jc w:val="both"/>
      </w:pPr>
      <w:r w:rsidRPr="00C66FE4">
        <w:t>If the Neutral Decisionmaker conclude</w:t>
      </w:r>
      <w:r w:rsidR="003D4695" w:rsidRPr="00C66FE4">
        <w:t>s</w:t>
      </w:r>
      <w:r w:rsidRPr="00C66FE4">
        <w:t xml:space="preserve"> that the Potential Conflict of Interest</w:t>
      </w:r>
      <w:r w:rsidR="00F25F87" w:rsidRPr="00C66FE4">
        <w:t xml:space="preserve"> does</w:t>
      </w:r>
      <w:r w:rsidRPr="00C66FE4">
        <w:t xml:space="preserve"> constitute</w:t>
      </w:r>
      <w:r w:rsidR="003D4695" w:rsidRPr="00C66FE4">
        <w:t>s</w:t>
      </w:r>
      <w:r w:rsidRPr="00C66FE4">
        <w:t xml:space="preserve"> </w:t>
      </w:r>
      <w:r w:rsidR="00BC537B" w:rsidRPr="00C66FE4">
        <w:t>a Disqualifying</w:t>
      </w:r>
      <w:r w:rsidRPr="00C66FE4">
        <w:t xml:space="preserve"> Conflict of Interest, the </w:t>
      </w:r>
      <w:r w:rsidR="003D4695" w:rsidRPr="00C66FE4">
        <w:t>P</w:t>
      </w:r>
      <w:r w:rsidRPr="00C66FE4">
        <w:t xml:space="preserve">ublic </w:t>
      </w:r>
      <w:r w:rsidR="003D4695" w:rsidRPr="00C66FE4">
        <w:t>O</w:t>
      </w:r>
      <w:r w:rsidRPr="00C66FE4">
        <w:t xml:space="preserve">fficial shall recuse himself and abstain from </w:t>
      </w:r>
      <w:r w:rsidR="003D4695" w:rsidRPr="00C66FE4">
        <w:t>participating in the matter</w:t>
      </w:r>
      <w:r w:rsidRPr="00C66FE4">
        <w:t>.</w:t>
      </w:r>
      <w:r w:rsidR="006454C1" w:rsidRPr="00C66FE4">
        <w:t xml:space="preserve"> </w:t>
      </w:r>
    </w:p>
    <w:p w14:paraId="20742331" w14:textId="671A2CB2" w:rsidR="00582681" w:rsidRPr="00C66FE4" w:rsidRDefault="00B6058B" w:rsidP="00403540">
      <w:pPr>
        <w:pStyle w:val="ListParagraph"/>
        <w:numPr>
          <w:ilvl w:val="0"/>
          <w:numId w:val="24"/>
        </w:numPr>
        <w:tabs>
          <w:tab w:val="left" w:pos="1080"/>
        </w:tabs>
        <w:spacing w:line="480" w:lineRule="auto"/>
        <w:jc w:val="both"/>
      </w:pPr>
      <w:r w:rsidRPr="00C66FE4">
        <w:t xml:space="preserve">If under this rule, a </w:t>
      </w:r>
      <w:r w:rsidR="007B325B" w:rsidRPr="00C66FE4">
        <w:t>P</w:t>
      </w:r>
      <w:r w:rsidRPr="00C66FE4">
        <w:t xml:space="preserve">ublic </w:t>
      </w:r>
      <w:r w:rsidR="007B325B" w:rsidRPr="00C66FE4">
        <w:t>O</w:t>
      </w:r>
      <w:r w:rsidRPr="00C66FE4">
        <w:t>fficial is required to recuse</w:t>
      </w:r>
      <w:r w:rsidR="007B325B" w:rsidRPr="00C66FE4">
        <w:t xml:space="preserve"> himself</w:t>
      </w:r>
      <w:r w:rsidRPr="00C66FE4">
        <w:t xml:space="preserve"> and abstain from further action in </w:t>
      </w:r>
      <w:r w:rsidR="0039339C" w:rsidRPr="00C66FE4">
        <w:t>a</w:t>
      </w:r>
      <w:r w:rsidRPr="00C66FE4">
        <w:t xml:space="preserve"> matter</w:t>
      </w:r>
      <w:r w:rsidR="0039339C" w:rsidRPr="00C66FE4">
        <w:t>, further action or decisions in the matter</w:t>
      </w:r>
      <w:r w:rsidRPr="00C66FE4">
        <w:t xml:space="preserve"> shall be made by the</w:t>
      </w:r>
      <w:r w:rsidR="0039339C" w:rsidRPr="00C66FE4">
        <w:t xml:space="preserve"> appropriate</w:t>
      </w:r>
      <w:r w:rsidRPr="00C66FE4">
        <w:t xml:space="preserve"> Neutral Decisionmake</w:t>
      </w:r>
      <w:r w:rsidR="00A45815" w:rsidRPr="00C66FE4">
        <w:t>r</w:t>
      </w:r>
      <w:r w:rsidRPr="00C66FE4">
        <w:t xml:space="preserve"> unless a different procedure is required by applicable </w:t>
      </w:r>
      <w:r w:rsidR="00A45815" w:rsidRPr="00C66FE4">
        <w:t>law or rule</w:t>
      </w:r>
      <w:r w:rsidRPr="00C66FE4">
        <w:t xml:space="preserve"> in which case the decision or action shall be taken by the </w:t>
      </w:r>
      <w:r w:rsidR="00A45815" w:rsidRPr="00C66FE4">
        <w:t>P</w:t>
      </w:r>
      <w:r w:rsidRPr="00C66FE4">
        <w:t xml:space="preserve">ublic </w:t>
      </w:r>
      <w:r w:rsidR="00A45815" w:rsidRPr="00C66FE4">
        <w:t>O</w:t>
      </w:r>
      <w:r w:rsidRPr="00C66FE4">
        <w:t xml:space="preserve">fficial, agency, commission, </w:t>
      </w:r>
      <w:proofErr w:type="gramStart"/>
      <w:r w:rsidR="00AB451B" w:rsidRPr="00C66FE4">
        <w:t>b</w:t>
      </w:r>
      <w:r w:rsidRPr="00C66FE4">
        <w:t>oard</w:t>
      </w:r>
      <w:proofErr w:type="gramEnd"/>
      <w:r w:rsidRPr="00C66FE4">
        <w:t xml:space="preserve"> or committee designated by</w:t>
      </w:r>
      <w:r w:rsidR="00DE657D" w:rsidRPr="00C66FE4">
        <w:t xml:space="preserve"> law or rule</w:t>
      </w:r>
      <w:r w:rsidRPr="00C66FE4">
        <w:t>.</w:t>
      </w:r>
    </w:p>
    <w:p w14:paraId="771EC6FF" w14:textId="59F4AA77" w:rsidR="008A0BD8" w:rsidRPr="00C66FE4" w:rsidRDefault="00913FA8" w:rsidP="00913FA8">
      <w:pPr>
        <w:pStyle w:val="ListParagraph"/>
        <w:numPr>
          <w:ilvl w:val="0"/>
          <w:numId w:val="24"/>
        </w:numPr>
        <w:tabs>
          <w:tab w:val="left" w:pos="540"/>
        </w:tabs>
        <w:spacing w:line="480" w:lineRule="auto"/>
        <w:ind w:left="720"/>
        <w:jc w:val="both"/>
      </w:pPr>
      <w:r w:rsidRPr="00C66FE4">
        <w:t xml:space="preserve">  </w:t>
      </w:r>
      <w:r w:rsidR="005405DC" w:rsidRPr="00C66FE4">
        <w:t>The</w:t>
      </w:r>
      <w:r w:rsidR="00E76DA3" w:rsidRPr="00C66FE4">
        <w:t xml:space="preserve"> Neutral Decisionmaker shall comply with the requirements of the open meetings laws in their consideration and review of the Potential Conflict of Interest.</w:t>
      </w:r>
      <w:r w:rsidR="00B6058B" w:rsidRPr="00C66FE4">
        <w:t xml:space="preserve"> During any discussion of a </w:t>
      </w:r>
      <w:r w:rsidR="00B6058B" w:rsidRPr="00C66FE4">
        <w:lastRenderedPageBreak/>
        <w:t xml:space="preserve">Potential Conflict of Interest, </w:t>
      </w:r>
      <w:r w:rsidR="00AD1391" w:rsidRPr="00C66FE4">
        <w:t>upon request</w:t>
      </w:r>
      <w:r w:rsidR="00B6058B" w:rsidRPr="00C66FE4">
        <w:t xml:space="preserve"> by the Neutral Decisionmaker</w:t>
      </w:r>
      <w:r w:rsidR="00BB59FB" w:rsidRPr="00C66FE4">
        <w:t xml:space="preserve">, the </w:t>
      </w:r>
      <w:r w:rsidR="00AD1391" w:rsidRPr="00C66FE4">
        <w:t>P</w:t>
      </w:r>
      <w:r w:rsidR="00BB59FB" w:rsidRPr="00C66FE4">
        <w:t xml:space="preserve">ublic </w:t>
      </w:r>
      <w:r w:rsidR="00AD1391" w:rsidRPr="00C66FE4">
        <w:t>O</w:t>
      </w:r>
      <w:r w:rsidR="00BB59FB" w:rsidRPr="00C66FE4">
        <w:t>fficial may provide additional information</w:t>
      </w:r>
      <w:r w:rsidR="00E43653" w:rsidRPr="00C66FE4">
        <w:t xml:space="preserve"> regarding the Potential Conflict of Interest and the matter in question.</w:t>
      </w:r>
      <w:r w:rsidR="00EC3678" w:rsidRPr="00C66FE4">
        <w:t xml:space="preserve"> W</w:t>
      </w:r>
      <w:r w:rsidR="00E76DA3" w:rsidRPr="00C66FE4">
        <w:t>here the</w:t>
      </w:r>
      <w:r w:rsidR="00E43653" w:rsidRPr="00C66FE4">
        <w:t xml:space="preserve"> North Dakota open meetings laws and regulations</w:t>
      </w:r>
      <w:r w:rsidR="00E76DA3" w:rsidRPr="00C66FE4">
        <w:t xml:space="preserve"> a</w:t>
      </w:r>
      <w:r w:rsidR="00C176A0" w:rsidRPr="00C66FE4">
        <w:t>pply</w:t>
      </w:r>
      <w:r w:rsidR="00E43653" w:rsidRPr="00C66FE4">
        <w:t xml:space="preserve">, the </w:t>
      </w:r>
      <w:r w:rsidR="00C176A0" w:rsidRPr="00C66FE4">
        <w:t>P</w:t>
      </w:r>
      <w:r w:rsidR="00E43653" w:rsidRPr="00C66FE4">
        <w:t xml:space="preserve">ublic </w:t>
      </w:r>
      <w:r w:rsidR="00C176A0" w:rsidRPr="00C66FE4">
        <w:t>O</w:t>
      </w:r>
      <w:r w:rsidR="00E43653" w:rsidRPr="00C66FE4">
        <w:t>fficial may not be asked to leave the discussion of the Potential Conflict of Interest, however, the</w:t>
      </w:r>
      <w:r w:rsidR="006630F7" w:rsidRPr="00C66FE4">
        <w:t xml:space="preserve"> disclosing</w:t>
      </w:r>
      <w:r w:rsidR="00E43653" w:rsidRPr="00C66FE4">
        <w:t xml:space="preserve"> </w:t>
      </w:r>
      <w:r w:rsidR="00C176A0" w:rsidRPr="00C66FE4">
        <w:t>P</w:t>
      </w:r>
      <w:r w:rsidR="00E43653" w:rsidRPr="00C66FE4">
        <w:t xml:space="preserve">ublic </w:t>
      </w:r>
      <w:r w:rsidR="00C176A0" w:rsidRPr="00C66FE4">
        <w:t>O</w:t>
      </w:r>
      <w:r w:rsidR="00E43653" w:rsidRPr="00C66FE4">
        <w:t>fficial may voluntarily leave the meeting at which the discussion occurs. If the Neutral Deci</w:t>
      </w:r>
      <w:r w:rsidR="00161C48" w:rsidRPr="00C66FE4">
        <w:t>si</w:t>
      </w:r>
      <w:r w:rsidR="00E43653" w:rsidRPr="00C66FE4">
        <w:t>onmake</w:t>
      </w:r>
      <w:r w:rsidR="00074AF8" w:rsidRPr="00C66FE4">
        <w:t>r</w:t>
      </w:r>
      <w:r w:rsidR="00E43653" w:rsidRPr="00C66FE4">
        <w:t xml:space="preserve"> is a group of individuals </w:t>
      </w:r>
      <w:r w:rsidR="00993D5F">
        <w:t>in</w:t>
      </w:r>
      <w:r w:rsidR="00074AF8" w:rsidRPr="00C66FE4">
        <w:t xml:space="preserve"> which the P</w:t>
      </w:r>
      <w:r w:rsidR="00161C48" w:rsidRPr="00C66FE4">
        <w:t>u</w:t>
      </w:r>
      <w:r w:rsidR="00E43653" w:rsidRPr="00C66FE4">
        <w:t xml:space="preserve">blic </w:t>
      </w:r>
      <w:r w:rsidR="00074AF8" w:rsidRPr="00C66FE4">
        <w:t>O</w:t>
      </w:r>
      <w:r w:rsidR="00E43653" w:rsidRPr="00C66FE4">
        <w:t xml:space="preserve">fficial is a member, the </w:t>
      </w:r>
      <w:r w:rsidR="00074AF8" w:rsidRPr="00C66FE4">
        <w:t>P</w:t>
      </w:r>
      <w:r w:rsidR="00E43653" w:rsidRPr="00C66FE4">
        <w:t xml:space="preserve">ublic </w:t>
      </w:r>
      <w:r w:rsidR="00074AF8" w:rsidRPr="00C66FE4">
        <w:t>O</w:t>
      </w:r>
      <w:r w:rsidR="00E43653" w:rsidRPr="00C66FE4">
        <w:t>fficial may not vote on the issue of whether a Potential Conflic</w:t>
      </w:r>
      <w:r w:rsidR="00161C48" w:rsidRPr="00C66FE4">
        <w:t>t</w:t>
      </w:r>
      <w:r w:rsidR="00E43653" w:rsidRPr="00C66FE4">
        <w:t xml:space="preserve"> of Interest constitutes a</w:t>
      </w:r>
      <w:r w:rsidR="00446FC8" w:rsidRPr="00C66FE4">
        <w:t xml:space="preserve"> Disqualifying C</w:t>
      </w:r>
      <w:r w:rsidR="00E43653" w:rsidRPr="00C66FE4">
        <w:t xml:space="preserve">onflict of </w:t>
      </w:r>
      <w:r w:rsidR="00446FC8" w:rsidRPr="00C66FE4">
        <w:t>I</w:t>
      </w:r>
      <w:r w:rsidR="00E43653" w:rsidRPr="00C66FE4">
        <w:t xml:space="preserve">nterest. </w:t>
      </w:r>
      <w:r w:rsidR="00B02D51" w:rsidRPr="00C66FE4">
        <w:t>T</w:t>
      </w:r>
      <w:r w:rsidR="00E43653" w:rsidRPr="00C66FE4">
        <w:t xml:space="preserve">he </w:t>
      </w:r>
      <w:r w:rsidR="00B02D51" w:rsidRPr="00C66FE4">
        <w:t>P</w:t>
      </w:r>
      <w:r w:rsidR="00E43653" w:rsidRPr="00C66FE4">
        <w:t xml:space="preserve">ublic </w:t>
      </w:r>
      <w:r w:rsidR="00B02D51" w:rsidRPr="00C66FE4">
        <w:t>O</w:t>
      </w:r>
      <w:r w:rsidR="00E43653" w:rsidRPr="00C66FE4">
        <w:t>fficial may not be counted for purposes of determining whether a quorum is present. Any quorum requirement establi</w:t>
      </w:r>
      <w:r w:rsidR="00161C48" w:rsidRPr="00C66FE4">
        <w:t>sh</w:t>
      </w:r>
      <w:r w:rsidR="00E43653" w:rsidRPr="00C66FE4">
        <w:t>ed under statute</w:t>
      </w:r>
      <w:r w:rsidR="006630F7" w:rsidRPr="00C66FE4">
        <w:t>, ordinance</w:t>
      </w:r>
      <w:r w:rsidR="00E43653" w:rsidRPr="00C66FE4">
        <w:t xml:space="preserve"> or rule shall be r</w:t>
      </w:r>
      <w:r w:rsidR="00161C48" w:rsidRPr="00C66FE4">
        <w:t>e</w:t>
      </w:r>
      <w:r w:rsidR="00E43653" w:rsidRPr="00C66FE4">
        <w:t xml:space="preserve">duced as though the </w:t>
      </w:r>
      <w:r w:rsidR="00B02D51" w:rsidRPr="00C66FE4">
        <w:t>P</w:t>
      </w:r>
      <w:r w:rsidR="00161C48" w:rsidRPr="00C66FE4">
        <w:t>ublic</w:t>
      </w:r>
      <w:r w:rsidR="00E43653" w:rsidRPr="00C66FE4">
        <w:t xml:space="preserve"> </w:t>
      </w:r>
      <w:r w:rsidR="00B02D51" w:rsidRPr="00C66FE4">
        <w:t>O</w:t>
      </w:r>
      <w:r w:rsidR="00E43653" w:rsidRPr="00C66FE4">
        <w:t>fficial were not a member of the group of individuals that constitutes the Neutral Decisionmaker.</w:t>
      </w:r>
    </w:p>
    <w:p w14:paraId="1E823EF8" w14:textId="38588D1F" w:rsidR="00DB3029" w:rsidRPr="00C66FE4" w:rsidRDefault="00913FA8" w:rsidP="00913FA8">
      <w:pPr>
        <w:pStyle w:val="ListParagraph"/>
        <w:numPr>
          <w:ilvl w:val="0"/>
          <w:numId w:val="24"/>
        </w:numPr>
        <w:tabs>
          <w:tab w:val="left" w:pos="540"/>
        </w:tabs>
        <w:spacing w:line="480" w:lineRule="auto"/>
        <w:ind w:left="720"/>
        <w:jc w:val="both"/>
      </w:pPr>
      <w:r w:rsidRPr="00C66FE4">
        <w:t xml:space="preserve">   </w:t>
      </w:r>
      <w:r w:rsidR="00DB3029" w:rsidRPr="00C66FE4">
        <w:t xml:space="preserve">The following standards shall guide the review and decision of </w:t>
      </w:r>
      <w:r w:rsidR="006D4923" w:rsidRPr="00C66FE4">
        <w:t xml:space="preserve">the </w:t>
      </w:r>
      <w:r w:rsidR="00DB3029" w:rsidRPr="00C66FE4">
        <w:t xml:space="preserve">Neutral Decisionmaker with respect to any </w:t>
      </w:r>
      <w:r w:rsidR="00307F76" w:rsidRPr="00C66FE4">
        <w:t>Public Official</w:t>
      </w:r>
      <w:r w:rsidR="00DB3029" w:rsidRPr="00C66FE4">
        <w:t>’s Potential Conflict of Interest:</w:t>
      </w:r>
    </w:p>
    <w:p w14:paraId="27FA894D" w14:textId="076A4243" w:rsidR="00DB3029" w:rsidRPr="00C66FE4" w:rsidRDefault="00DB3029" w:rsidP="00DB3029">
      <w:pPr>
        <w:pStyle w:val="ListParagraph"/>
        <w:numPr>
          <w:ilvl w:val="1"/>
          <w:numId w:val="13"/>
        </w:numPr>
        <w:spacing w:line="480" w:lineRule="auto"/>
        <w:jc w:val="both"/>
      </w:pPr>
      <w:r w:rsidRPr="00C66FE4">
        <w:t xml:space="preserve">Appropriate weight and proper deference must be given to the requirement that a </w:t>
      </w:r>
      <w:r w:rsidR="00307F76" w:rsidRPr="00C66FE4">
        <w:t>Public Official</w:t>
      </w:r>
      <w:r w:rsidRPr="00C66FE4">
        <w:t xml:space="preserve"> perform the duties of elected or appointed office, including the duty to vote or otherwise act upon a matter, provided the </w:t>
      </w:r>
      <w:r w:rsidR="00307F76" w:rsidRPr="00C66FE4">
        <w:t>Public Official</w:t>
      </w:r>
      <w:r w:rsidRPr="00C66FE4">
        <w:t xml:space="preserve"> has properly disclosed the Potential Conflict of Interest as required by this rule.</w:t>
      </w:r>
    </w:p>
    <w:p w14:paraId="2FE84F60" w14:textId="0F665AAB" w:rsidR="00DB3029" w:rsidRPr="00C66FE4" w:rsidRDefault="00DB3029" w:rsidP="00DB3029">
      <w:pPr>
        <w:pStyle w:val="ListParagraph"/>
        <w:numPr>
          <w:ilvl w:val="1"/>
          <w:numId w:val="13"/>
        </w:numPr>
        <w:spacing w:line="480" w:lineRule="auto"/>
        <w:jc w:val="both"/>
      </w:pPr>
      <w:r w:rsidRPr="00C66FE4">
        <w:t xml:space="preserve">A decision that requires a </w:t>
      </w:r>
      <w:r w:rsidR="00307F76" w:rsidRPr="00C66FE4">
        <w:t>Public Official</w:t>
      </w:r>
      <w:r w:rsidRPr="00C66FE4">
        <w:t xml:space="preserve"> to recuse or abstain from further action</w:t>
      </w:r>
      <w:r w:rsidR="00541C69" w:rsidRPr="00C66FE4">
        <w:t xml:space="preserve"> or decision in a matter should only occur in cases where the independence of judgement of a reasonable person in the </w:t>
      </w:r>
      <w:r w:rsidR="00307F76" w:rsidRPr="00C66FE4">
        <w:t>Public Official</w:t>
      </w:r>
      <w:r w:rsidR="00541C69" w:rsidRPr="00C66FE4">
        <w:t xml:space="preserve">’s situation would be materially affected by the </w:t>
      </w:r>
      <w:r w:rsidR="003F27E2" w:rsidRPr="00C66FE4">
        <w:t xml:space="preserve">disclosed </w:t>
      </w:r>
      <w:r w:rsidR="00541C69" w:rsidRPr="00C66FE4">
        <w:t>Potential Conflict of Interest.</w:t>
      </w:r>
    </w:p>
    <w:p w14:paraId="15E200D6" w14:textId="599FBD4A" w:rsidR="00541C69" w:rsidRPr="00C66FE4" w:rsidRDefault="00541C69" w:rsidP="00DB3029">
      <w:pPr>
        <w:pStyle w:val="ListParagraph"/>
        <w:numPr>
          <w:ilvl w:val="1"/>
          <w:numId w:val="13"/>
        </w:numPr>
        <w:spacing w:line="480" w:lineRule="auto"/>
        <w:jc w:val="both"/>
      </w:pPr>
      <w:r w:rsidRPr="00C66FE4">
        <w:t xml:space="preserve">The review of a Potential Conflict of Interest and any decision that would require a </w:t>
      </w:r>
      <w:r w:rsidR="00307F76" w:rsidRPr="00C66FE4">
        <w:t>Public Official</w:t>
      </w:r>
      <w:r w:rsidRPr="00C66FE4">
        <w:t xml:space="preserve"> to recuse himself or abstain from further involvement in a matter shall </w:t>
      </w:r>
      <w:r w:rsidRPr="00C66FE4">
        <w:lastRenderedPageBreak/>
        <w:t xml:space="preserve">consider any applicable North Dakota law which precludes the </w:t>
      </w:r>
      <w:r w:rsidR="00307F76" w:rsidRPr="00C66FE4">
        <w:t>Public Official</w:t>
      </w:r>
      <w:r w:rsidRPr="00C66FE4">
        <w:t xml:space="preserve"> from recusal or abstention in the matter.</w:t>
      </w:r>
    </w:p>
    <w:p w14:paraId="59E37300" w14:textId="29CFD809" w:rsidR="009752BC" w:rsidRPr="00C66FE4" w:rsidRDefault="009752BC" w:rsidP="00DB3029">
      <w:pPr>
        <w:pStyle w:val="ListParagraph"/>
        <w:numPr>
          <w:ilvl w:val="1"/>
          <w:numId w:val="13"/>
        </w:numPr>
        <w:spacing w:line="480" w:lineRule="auto"/>
        <w:jc w:val="both"/>
      </w:pPr>
      <w:r w:rsidRPr="00C66FE4">
        <w:t xml:space="preserve">It is presumed that a </w:t>
      </w:r>
      <w:r w:rsidR="00307F76" w:rsidRPr="00C66FE4">
        <w:t>Public Official</w:t>
      </w:r>
      <w:r w:rsidRPr="00C66FE4">
        <w:t xml:space="preserve"> does not have </w:t>
      </w:r>
      <w:r w:rsidR="00446FC8" w:rsidRPr="00C66FE4">
        <w:t>a Disqualifying C</w:t>
      </w:r>
      <w:r w:rsidRPr="00C66FE4">
        <w:t xml:space="preserve">onflict of </w:t>
      </w:r>
      <w:r w:rsidR="00446FC8" w:rsidRPr="00C66FE4">
        <w:t>I</w:t>
      </w:r>
      <w:r w:rsidRPr="00C66FE4">
        <w:t xml:space="preserve">nterest if the </w:t>
      </w:r>
      <w:r w:rsidR="00307F76" w:rsidRPr="00C66FE4">
        <w:t>Public Official</w:t>
      </w:r>
      <w:r w:rsidRPr="00C66FE4">
        <w:t xml:space="preserve"> would not derive any personal benefit which is greater than that accruing to any other member of the </w:t>
      </w:r>
      <w:proofErr w:type="gramStart"/>
      <w:r w:rsidRPr="00C66FE4">
        <w:t xml:space="preserve">general </w:t>
      </w:r>
      <w:r w:rsidR="00CB1A7A" w:rsidRPr="00C66FE4">
        <w:t>public</w:t>
      </w:r>
      <w:proofErr w:type="gramEnd"/>
      <w:r w:rsidR="00CB1A7A" w:rsidRPr="00C66FE4">
        <w:t xml:space="preserve"> or any general business, profession, occupation, or group affected by the matter.</w:t>
      </w:r>
    </w:p>
    <w:p w14:paraId="7F709E0E" w14:textId="1C8040FD" w:rsidR="00154B75" w:rsidRPr="009A15BD" w:rsidRDefault="008A0BD8" w:rsidP="008332A7">
      <w:pPr>
        <w:pStyle w:val="NoSpacing"/>
        <w:spacing w:line="480" w:lineRule="auto"/>
        <w:jc w:val="both"/>
        <w:rPr>
          <w:b/>
          <w:bCs/>
        </w:rPr>
      </w:pPr>
      <w:bookmarkStart w:id="7" w:name="_Hlk93607060"/>
      <w:bookmarkEnd w:id="2"/>
      <w:bookmarkEnd w:id="3"/>
      <w:r w:rsidRPr="009A15BD">
        <w:rPr>
          <w:b/>
          <w:bCs/>
        </w:rPr>
        <w:t>115-04-01-</w:t>
      </w:r>
      <w:r w:rsidR="00154B75" w:rsidRPr="009A15BD">
        <w:rPr>
          <w:b/>
          <w:bCs/>
        </w:rPr>
        <w:t>04</w:t>
      </w:r>
      <w:r w:rsidR="00154B75" w:rsidRPr="009A15BD">
        <w:rPr>
          <w:b/>
          <w:bCs/>
        </w:rPr>
        <w:tab/>
      </w:r>
      <w:r w:rsidR="00930402" w:rsidRPr="009A15BD">
        <w:rPr>
          <w:b/>
          <w:bCs/>
        </w:rPr>
        <w:t>Quasi-Judicial Proceedings</w:t>
      </w:r>
    </w:p>
    <w:p w14:paraId="3B58908F" w14:textId="77777777" w:rsidR="0086794B" w:rsidRPr="00C66FE4" w:rsidRDefault="0086794B" w:rsidP="005342F5">
      <w:pPr>
        <w:pStyle w:val="ListParagraph"/>
        <w:numPr>
          <w:ilvl w:val="0"/>
          <w:numId w:val="34"/>
        </w:numPr>
        <w:spacing w:line="480" w:lineRule="auto"/>
        <w:ind w:left="360"/>
        <w:jc w:val="both"/>
        <w:rPr>
          <w:rFonts w:ascii="Calibri" w:hAnsi="Calibri" w:cs="Calibri"/>
        </w:rPr>
      </w:pPr>
      <w:r w:rsidRPr="00C66FE4">
        <w:rPr>
          <w:rFonts w:ascii="Calibri" w:hAnsi="Calibri" w:cs="Calibri"/>
        </w:rPr>
        <w:t xml:space="preserve">Article XIV, Section 2(5) of the North Dakota Constitution establishes a requirement that Public Officials who are directors, officers, commissioners, heads, or other executives of agencies avoid the appearance of bias in any Quasi-Judicial proceeding.  This section 115-04-01-04 is applicable to Public Officials who are involved in Quasi-Judicial proceedings.  </w:t>
      </w:r>
    </w:p>
    <w:p w14:paraId="4FAE9F0E" w14:textId="77777777" w:rsidR="0086794B" w:rsidRPr="00C66FE4" w:rsidRDefault="0086794B" w:rsidP="005342F5">
      <w:pPr>
        <w:pStyle w:val="ListParagraph"/>
        <w:spacing w:line="480" w:lineRule="auto"/>
        <w:ind w:left="360"/>
        <w:jc w:val="both"/>
        <w:rPr>
          <w:rFonts w:ascii="Calibri" w:hAnsi="Calibri" w:cs="Calibri"/>
        </w:rPr>
      </w:pPr>
    </w:p>
    <w:p w14:paraId="7918C582" w14:textId="77777777" w:rsidR="0086794B" w:rsidRPr="00C66FE4" w:rsidRDefault="0086794B" w:rsidP="005342F5">
      <w:pPr>
        <w:pStyle w:val="ListParagraph"/>
        <w:numPr>
          <w:ilvl w:val="0"/>
          <w:numId w:val="34"/>
        </w:numPr>
        <w:spacing w:line="480" w:lineRule="auto"/>
        <w:ind w:left="360"/>
        <w:jc w:val="both"/>
        <w:rPr>
          <w:rFonts w:ascii="Calibri" w:hAnsi="Calibri" w:cs="Calibri"/>
        </w:rPr>
      </w:pPr>
      <w:r w:rsidRPr="00C66FE4">
        <w:rPr>
          <w:rFonts w:ascii="Calibri" w:hAnsi="Calibri" w:cs="Calibri"/>
        </w:rPr>
        <w:t xml:space="preserve">Definitions applicable to Quasi-Judicial Proceedings:  </w:t>
      </w:r>
    </w:p>
    <w:p w14:paraId="465DFBDF" w14:textId="77777777" w:rsidR="0086794B" w:rsidRPr="00C66FE4" w:rsidRDefault="0086794B" w:rsidP="005342F5">
      <w:pPr>
        <w:pStyle w:val="ListParagraph"/>
        <w:spacing w:line="480" w:lineRule="auto"/>
        <w:ind w:left="360"/>
        <w:jc w:val="both"/>
        <w:rPr>
          <w:rFonts w:ascii="Calibri" w:hAnsi="Calibri" w:cs="Calibri"/>
        </w:rPr>
      </w:pPr>
    </w:p>
    <w:p w14:paraId="1E94665E" w14:textId="77777777" w:rsidR="0086794B" w:rsidRPr="00C66FE4" w:rsidRDefault="0086794B" w:rsidP="004567CD">
      <w:pPr>
        <w:pStyle w:val="ListParagraph"/>
        <w:numPr>
          <w:ilvl w:val="0"/>
          <w:numId w:val="35"/>
        </w:numPr>
        <w:spacing w:line="480" w:lineRule="auto"/>
        <w:jc w:val="both"/>
        <w:rPr>
          <w:rFonts w:ascii="Calibri" w:hAnsi="Calibri" w:cs="Calibri"/>
        </w:rPr>
      </w:pPr>
      <w:r w:rsidRPr="00C66FE4">
        <w:rPr>
          <w:rFonts w:ascii="Calibri" w:hAnsi="Calibri" w:cs="Calibri"/>
        </w:rPr>
        <w:t xml:space="preserve">Definitions set forth in Section 115-04-01-01 are applicable to this section unless a different defined term is set forth in this section.  </w:t>
      </w:r>
    </w:p>
    <w:p w14:paraId="3E27DB25" w14:textId="77777777" w:rsidR="0086794B" w:rsidRPr="00C66FE4" w:rsidRDefault="0086794B" w:rsidP="004567CD">
      <w:pPr>
        <w:pStyle w:val="ListParagraph"/>
        <w:numPr>
          <w:ilvl w:val="0"/>
          <w:numId w:val="35"/>
        </w:numPr>
        <w:spacing w:line="480" w:lineRule="auto"/>
        <w:jc w:val="both"/>
        <w:rPr>
          <w:rFonts w:ascii="Calibri" w:hAnsi="Calibri" w:cs="Calibri"/>
        </w:rPr>
      </w:pPr>
      <w:r w:rsidRPr="00C66FE4">
        <w:rPr>
          <w:rFonts w:ascii="Calibri" w:hAnsi="Calibri" w:cs="Calibri"/>
        </w:rPr>
        <w:t xml:space="preserve">“Appearance of bias to a reasonable person” means that the interest in question would create in reasonable minds a perception that the Public Official’s ability to carry out Quasi-Judicial responsibilities impartially and without bias is impaired.  </w:t>
      </w:r>
    </w:p>
    <w:p w14:paraId="1A0F00B9" w14:textId="77777777" w:rsidR="0086794B" w:rsidRPr="00C66FE4" w:rsidRDefault="0086794B" w:rsidP="004567CD">
      <w:pPr>
        <w:pStyle w:val="ListParagraph"/>
        <w:numPr>
          <w:ilvl w:val="0"/>
          <w:numId w:val="35"/>
        </w:numPr>
        <w:spacing w:line="480" w:lineRule="auto"/>
        <w:jc w:val="both"/>
        <w:rPr>
          <w:rFonts w:ascii="Calibri" w:hAnsi="Calibri" w:cs="Calibri"/>
        </w:rPr>
      </w:pPr>
      <w:r w:rsidRPr="00C66FE4">
        <w:rPr>
          <w:rFonts w:ascii="Calibri" w:hAnsi="Calibri" w:cs="Calibri"/>
        </w:rPr>
        <w:t xml:space="preserve">“Campaign Monetary or In-Kind Support” means all campaign contributions of every kind and type whatsoever, whether in the form of cash, goods, services, or other form of contribution, and whether donated directly to the Public Official’s campaign or donated to any other person or entity for the purpose of supporting the Public Official’s election to any office within the current or immediately preceding election cycle.  No campaign </w:t>
      </w:r>
      <w:r w:rsidRPr="00C66FE4">
        <w:rPr>
          <w:rFonts w:ascii="Calibri" w:hAnsi="Calibri" w:cs="Calibri"/>
        </w:rPr>
        <w:lastRenderedPageBreak/>
        <w:t>contribution of any kind received prior to January 5, 2022, shall be included in this definition.</w:t>
      </w:r>
    </w:p>
    <w:p w14:paraId="4C9B6A5C" w14:textId="77777777" w:rsidR="0086794B" w:rsidRPr="00C66FE4" w:rsidRDefault="0086794B" w:rsidP="004567CD">
      <w:pPr>
        <w:pStyle w:val="ListParagraph"/>
        <w:numPr>
          <w:ilvl w:val="0"/>
          <w:numId w:val="35"/>
        </w:numPr>
        <w:spacing w:line="480" w:lineRule="auto"/>
        <w:jc w:val="both"/>
        <w:rPr>
          <w:rFonts w:ascii="Calibri" w:hAnsi="Calibri" w:cs="Calibri"/>
        </w:rPr>
      </w:pPr>
      <w:r w:rsidRPr="00C66FE4">
        <w:rPr>
          <w:rFonts w:ascii="Calibri" w:hAnsi="Calibri" w:cs="Calibri"/>
        </w:rPr>
        <w:t xml:space="preserve">“Quasi-Judicial” means the Public Official is called upon to perform a judicial act when the Public Official is not a member of the North Dakota judiciary.  This includes administrative hearings, generally, and administrative hearings conducted pursuant to N.D.C.C. Chapter 28-32 where the final decisionmaker is the Public Official.  </w:t>
      </w:r>
    </w:p>
    <w:p w14:paraId="014C2B42" w14:textId="77777777" w:rsidR="0086794B" w:rsidRPr="00C66FE4" w:rsidRDefault="0086794B" w:rsidP="005342F5">
      <w:pPr>
        <w:pStyle w:val="ListParagraph"/>
        <w:numPr>
          <w:ilvl w:val="0"/>
          <w:numId w:val="34"/>
        </w:numPr>
        <w:spacing w:line="480" w:lineRule="auto"/>
        <w:ind w:left="360"/>
        <w:jc w:val="both"/>
        <w:rPr>
          <w:rFonts w:ascii="Calibri" w:hAnsi="Calibri" w:cs="Calibri"/>
        </w:rPr>
      </w:pPr>
      <w:r w:rsidRPr="00C66FE4">
        <w:rPr>
          <w:rFonts w:ascii="Calibri" w:hAnsi="Calibri" w:cs="Calibri"/>
        </w:rPr>
        <w:t xml:space="preserve">When a matter comes before a Public Official as part of a Quasi-Judicial proceeding, the Public Official must disclose any Potential Conflict of Interest and Campaign Monetary or In-Kind Support.  The disclosure must be made to a Neutral Decisionmaker prior to the Public Official having any further involvement in a Quasi-Judicial proceeding.  The Public Official shall </w:t>
      </w:r>
      <w:proofErr w:type="gramStart"/>
      <w:r w:rsidRPr="00C66FE4">
        <w:rPr>
          <w:rFonts w:ascii="Calibri" w:hAnsi="Calibri" w:cs="Calibri"/>
        </w:rPr>
        <w:t>have no involvement</w:t>
      </w:r>
      <w:proofErr w:type="gramEnd"/>
      <w:r w:rsidRPr="00C66FE4">
        <w:rPr>
          <w:rFonts w:ascii="Calibri" w:hAnsi="Calibri" w:cs="Calibri"/>
        </w:rPr>
        <w:t xml:space="preserve"> or take any further action in a Quasi-Judicial proceeding until a decision has been made by the Neutral Decisionmaker.  In addition, the Public Official must disclose the Potential Conflict of Interest and/or Campaign Monetary or In-Kind Support to the parties to the Quasi-Judicial proceeding.</w:t>
      </w:r>
    </w:p>
    <w:p w14:paraId="622442AA" w14:textId="77777777" w:rsidR="0086794B" w:rsidRPr="00C66FE4" w:rsidRDefault="0086794B" w:rsidP="005342F5">
      <w:pPr>
        <w:pStyle w:val="ListParagraph"/>
        <w:numPr>
          <w:ilvl w:val="0"/>
          <w:numId w:val="34"/>
        </w:numPr>
        <w:spacing w:line="480" w:lineRule="auto"/>
        <w:ind w:left="360"/>
        <w:jc w:val="both"/>
        <w:rPr>
          <w:rFonts w:ascii="Calibri" w:hAnsi="Calibri" w:cs="Calibri"/>
        </w:rPr>
      </w:pPr>
      <w:r w:rsidRPr="00C66FE4">
        <w:rPr>
          <w:rFonts w:ascii="Calibri" w:hAnsi="Calibri" w:cs="Calibri"/>
        </w:rPr>
        <w:t xml:space="preserve">The Public Official shall disclose the Potential Conflict of Interest and any Campaign Monetary or In-Kind Support to a Neutral Decisionmaker in the manner required by Section 115-04-01-02(1)(a).  As provided in Section 115-04-01-02(3), the Public Official may voluntarily recuse himself from any further involvement in a Quasi-Judicial proceeding.  </w:t>
      </w:r>
    </w:p>
    <w:p w14:paraId="241E5CBC" w14:textId="77777777" w:rsidR="0086794B" w:rsidRPr="00C66FE4" w:rsidRDefault="0086794B" w:rsidP="005342F5">
      <w:pPr>
        <w:pStyle w:val="ListParagraph"/>
        <w:numPr>
          <w:ilvl w:val="0"/>
          <w:numId w:val="34"/>
        </w:numPr>
        <w:spacing w:line="480" w:lineRule="auto"/>
        <w:ind w:left="360"/>
        <w:jc w:val="both"/>
        <w:rPr>
          <w:rFonts w:ascii="Calibri" w:hAnsi="Calibri" w:cs="Calibri"/>
        </w:rPr>
      </w:pPr>
      <w:r w:rsidRPr="00C66FE4">
        <w:rPr>
          <w:rFonts w:ascii="Calibri" w:hAnsi="Calibri" w:cs="Calibri"/>
        </w:rPr>
        <w:t>The Neutral Decisionmaker shall follow the procedures set forth in Section 115-04-01-03 in the review of any Potential Conflict of Interest and/or Campaign Monetary or In-Kind Support.  In addition, with respect to the review of any Campaign or In-Kind Support, the Neutral Decisionmaker, the following factors should be considered to determine whether Campaign Monetary or In-Kind Support creates an appearance of bias to a reasonable person:</w:t>
      </w:r>
    </w:p>
    <w:p w14:paraId="3BD86998" w14:textId="77777777" w:rsidR="0086794B" w:rsidRPr="00C66FE4" w:rsidRDefault="0086794B" w:rsidP="005342F5">
      <w:pPr>
        <w:pStyle w:val="ListParagraph"/>
        <w:numPr>
          <w:ilvl w:val="1"/>
          <w:numId w:val="34"/>
        </w:numPr>
        <w:spacing w:line="480" w:lineRule="auto"/>
        <w:ind w:firstLine="630"/>
        <w:jc w:val="both"/>
        <w:rPr>
          <w:rFonts w:ascii="Calibri" w:hAnsi="Calibri" w:cs="Calibri"/>
        </w:rPr>
      </w:pPr>
      <w:r w:rsidRPr="00C66FE4">
        <w:rPr>
          <w:rFonts w:ascii="Calibri" w:hAnsi="Calibri" w:cs="Calibri"/>
        </w:rPr>
        <w:t xml:space="preserve">The size of the </w:t>
      </w:r>
      <w:proofErr w:type="gramStart"/>
      <w:r w:rsidRPr="00C66FE4">
        <w:rPr>
          <w:rFonts w:ascii="Calibri" w:hAnsi="Calibri" w:cs="Calibri"/>
        </w:rPr>
        <w:t>contribution;</w:t>
      </w:r>
      <w:proofErr w:type="gramEnd"/>
    </w:p>
    <w:p w14:paraId="7857C920" w14:textId="77777777" w:rsidR="0086794B" w:rsidRPr="00C66FE4" w:rsidRDefault="0086794B" w:rsidP="005342F5">
      <w:pPr>
        <w:pStyle w:val="ListParagraph"/>
        <w:numPr>
          <w:ilvl w:val="1"/>
          <w:numId w:val="34"/>
        </w:numPr>
        <w:spacing w:line="480" w:lineRule="auto"/>
        <w:ind w:firstLine="630"/>
        <w:jc w:val="both"/>
        <w:rPr>
          <w:rFonts w:ascii="Calibri" w:hAnsi="Calibri" w:cs="Calibri"/>
        </w:rPr>
      </w:pPr>
      <w:r w:rsidRPr="00C66FE4">
        <w:rPr>
          <w:rFonts w:ascii="Calibri" w:hAnsi="Calibri" w:cs="Calibri"/>
        </w:rPr>
        <w:t xml:space="preserve">The degree of involvement in the </w:t>
      </w:r>
      <w:proofErr w:type="gramStart"/>
      <w:r w:rsidRPr="00C66FE4">
        <w:rPr>
          <w:rFonts w:ascii="Calibri" w:hAnsi="Calibri" w:cs="Calibri"/>
        </w:rPr>
        <w:t>campaign;</w:t>
      </w:r>
      <w:proofErr w:type="gramEnd"/>
    </w:p>
    <w:p w14:paraId="5ACBD9D1" w14:textId="77777777" w:rsidR="0086794B" w:rsidRPr="00C66FE4" w:rsidRDefault="0086794B" w:rsidP="005342F5">
      <w:pPr>
        <w:pStyle w:val="ListParagraph"/>
        <w:numPr>
          <w:ilvl w:val="1"/>
          <w:numId w:val="34"/>
        </w:numPr>
        <w:spacing w:line="480" w:lineRule="auto"/>
        <w:ind w:firstLine="630"/>
        <w:jc w:val="both"/>
        <w:rPr>
          <w:rFonts w:ascii="Calibri" w:hAnsi="Calibri" w:cs="Calibri"/>
        </w:rPr>
      </w:pPr>
      <w:r w:rsidRPr="00C66FE4">
        <w:rPr>
          <w:rFonts w:ascii="Calibri" w:hAnsi="Calibri" w:cs="Calibri"/>
        </w:rPr>
        <w:lastRenderedPageBreak/>
        <w:t xml:space="preserve">The proximity in time to the campaign or Quasi-Judicial </w:t>
      </w:r>
      <w:proofErr w:type="gramStart"/>
      <w:r w:rsidRPr="00C66FE4">
        <w:rPr>
          <w:rFonts w:ascii="Calibri" w:hAnsi="Calibri" w:cs="Calibri"/>
        </w:rPr>
        <w:t>proceeding;</w:t>
      </w:r>
      <w:proofErr w:type="gramEnd"/>
    </w:p>
    <w:p w14:paraId="5970173E" w14:textId="354B22B0" w:rsidR="0086794B" w:rsidRDefault="0086794B" w:rsidP="005342F5">
      <w:pPr>
        <w:pStyle w:val="ListParagraph"/>
        <w:numPr>
          <w:ilvl w:val="1"/>
          <w:numId w:val="34"/>
        </w:numPr>
        <w:spacing w:line="480" w:lineRule="auto"/>
        <w:ind w:firstLine="630"/>
        <w:jc w:val="both"/>
        <w:rPr>
          <w:rFonts w:ascii="Calibri" w:hAnsi="Calibri" w:cs="Calibri"/>
        </w:rPr>
      </w:pPr>
      <w:r w:rsidRPr="00C66FE4">
        <w:rPr>
          <w:rFonts w:ascii="Calibri" w:hAnsi="Calibri" w:cs="Calibri"/>
        </w:rPr>
        <w:t>The issues involved in the Quasi-Judicial proceeding; and,</w:t>
      </w:r>
    </w:p>
    <w:p w14:paraId="3C388A14" w14:textId="798019E1" w:rsidR="0086794B" w:rsidRPr="00032982" w:rsidRDefault="0086794B" w:rsidP="00032982">
      <w:pPr>
        <w:pStyle w:val="ListParagraph"/>
        <w:numPr>
          <w:ilvl w:val="1"/>
          <w:numId w:val="34"/>
        </w:numPr>
        <w:spacing w:line="480" w:lineRule="auto"/>
        <w:ind w:left="1440" w:hanging="450"/>
        <w:jc w:val="both"/>
        <w:rPr>
          <w:rFonts w:ascii="Calibri" w:hAnsi="Calibri" w:cs="Calibri"/>
        </w:rPr>
      </w:pPr>
      <w:bookmarkStart w:id="8" w:name="_Hlk93938309"/>
      <w:r w:rsidRPr="00032982">
        <w:rPr>
          <w:rFonts w:ascii="Calibri" w:hAnsi="Calibri" w:cs="Calibri"/>
        </w:rPr>
        <w:t>Other factors known to the Public Official that creates an appearance of bias to a</w:t>
      </w:r>
      <w:r w:rsidR="008C0E22" w:rsidRPr="00032982">
        <w:rPr>
          <w:rFonts w:ascii="Calibri" w:hAnsi="Calibri" w:cs="Calibri"/>
        </w:rPr>
        <w:t xml:space="preserve"> </w:t>
      </w:r>
      <w:r w:rsidRPr="00032982">
        <w:rPr>
          <w:rFonts w:ascii="Calibri" w:hAnsi="Calibri" w:cs="Calibri"/>
        </w:rPr>
        <w:t>reasonable person.</w:t>
      </w:r>
    </w:p>
    <w:bookmarkEnd w:id="8"/>
    <w:p w14:paraId="107B503F" w14:textId="6D5E2BE7" w:rsidR="00050FF0" w:rsidRPr="009A24CF" w:rsidRDefault="0086794B" w:rsidP="00050FF0">
      <w:pPr>
        <w:pStyle w:val="ListParagraph"/>
        <w:numPr>
          <w:ilvl w:val="0"/>
          <w:numId w:val="34"/>
        </w:numPr>
        <w:spacing w:line="480" w:lineRule="auto"/>
        <w:ind w:left="360"/>
        <w:jc w:val="both"/>
        <w:rPr>
          <w:rFonts w:ascii="Calibri" w:hAnsi="Calibri" w:cs="Calibri"/>
        </w:rPr>
      </w:pPr>
      <w:r w:rsidRPr="00C66FE4">
        <w:rPr>
          <w:rFonts w:ascii="Calibri" w:hAnsi="Calibri" w:cs="Calibri"/>
        </w:rPr>
        <w:t>Upon completion of the review of Potential Conflict of Interest and/or Campaign Monetary or In-Kind Support, the Neutral Decisionmaker shall communicate to the Public Official one of the following:</w:t>
      </w:r>
    </w:p>
    <w:p w14:paraId="44F05C42" w14:textId="1AF1F6C3" w:rsidR="0086794B" w:rsidRDefault="0086794B" w:rsidP="00F72A83">
      <w:pPr>
        <w:pStyle w:val="ListParagraph"/>
        <w:numPr>
          <w:ilvl w:val="1"/>
          <w:numId w:val="34"/>
        </w:numPr>
        <w:spacing w:line="480" w:lineRule="auto"/>
        <w:ind w:left="1350"/>
        <w:jc w:val="both"/>
        <w:rPr>
          <w:rFonts w:ascii="Calibri" w:hAnsi="Calibri" w:cs="Calibri"/>
        </w:rPr>
      </w:pPr>
      <w:r w:rsidRPr="00F72A83">
        <w:rPr>
          <w:rFonts w:ascii="Calibri" w:hAnsi="Calibri" w:cs="Calibri"/>
        </w:rPr>
        <w:t>If the Neutral Decisionmaker concludes that the Public Official has a Disqualifying Conflict of Interest or has received Campaign Monetary or In-Kind Support that creates the appearance of bias to a reasonable person, the Public Official shall recuse himself from any further involvement in the Quasi-Judicial proceeding.</w:t>
      </w:r>
    </w:p>
    <w:p w14:paraId="54102D69" w14:textId="653C93AA" w:rsidR="0086794B" w:rsidRDefault="0086794B" w:rsidP="00F72A83">
      <w:pPr>
        <w:pStyle w:val="ListParagraph"/>
        <w:numPr>
          <w:ilvl w:val="1"/>
          <w:numId w:val="34"/>
        </w:numPr>
        <w:spacing w:line="480" w:lineRule="auto"/>
        <w:ind w:left="1350"/>
        <w:jc w:val="both"/>
        <w:rPr>
          <w:rFonts w:ascii="Calibri" w:hAnsi="Calibri" w:cs="Calibri"/>
        </w:rPr>
      </w:pPr>
      <w:r w:rsidRPr="00F72A83">
        <w:rPr>
          <w:rFonts w:ascii="Calibri" w:hAnsi="Calibri" w:cs="Calibri"/>
        </w:rPr>
        <w:t>If the Neutral Decisionmaker concludes that the Public Official does not have a Disqualifying Conflict of Interest or has not received a Campaign Monetary or In-Kind Support that creates the appearance of bias to a reasonable person, the Public Official may participate in the Quasi-Judicial proceeding.</w:t>
      </w:r>
    </w:p>
    <w:p w14:paraId="0BAB0265" w14:textId="77777777" w:rsidR="0086794B" w:rsidRPr="00F72A83" w:rsidRDefault="0086794B" w:rsidP="00F72A83">
      <w:pPr>
        <w:pStyle w:val="ListParagraph"/>
        <w:numPr>
          <w:ilvl w:val="1"/>
          <w:numId w:val="34"/>
        </w:numPr>
        <w:spacing w:line="480" w:lineRule="auto"/>
        <w:ind w:left="1350"/>
        <w:jc w:val="both"/>
        <w:rPr>
          <w:rFonts w:ascii="Calibri" w:hAnsi="Calibri" w:cs="Calibri"/>
        </w:rPr>
      </w:pPr>
      <w:r w:rsidRPr="00F72A83">
        <w:rPr>
          <w:rFonts w:ascii="Calibri" w:hAnsi="Calibri" w:cs="Calibri"/>
        </w:rPr>
        <w:t xml:space="preserve">After disclosure to the parties involved in a Quasi-Judicial proceeding of a Public Official’s Potential Conflict of Interest and/or Campaign Monetary or In-Kind Support, all parties to the Quasi-Judicial proceeding may voluntarily consent, in writing, to the Public Official’s continued involvement in the Quasi-Judicial proceeding.  The written consent must be provided to the Neutral Decisionmaker to whom the disclosure was made.  Notwithstanding the written consent of the parties, the Neutral Decisionmaker may conclude that the Public Official must still recuse himself and abstain from any further involvement in the Quasi-Judicial proceeding.  </w:t>
      </w:r>
    </w:p>
    <w:p w14:paraId="3A8789B9" w14:textId="77777777" w:rsidR="0086794B" w:rsidRPr="00C66FE4" w:rsidRDefault="0086794B" w:rsidP="005342F5">
      <w:pPr>
        <w:pStyle w:val="ListParagraph"/>
        <w:numPr>
          <w:ilvl w:val="0"/>
          <w:numId w:val="34"/>
        </w:numPr>
        <w:spacing w:line="480" w:lineRule="auto"/>
        <w:ind w:left="360"/>
        <w:jc w:val="both"/>
        <w:rPr>
          <w:rFonts w:ascii="Calibri" w:hAnsi="Calibri" w:cs="Calibri"/>
        </w:rPr>
      </w:pPr>
      <w:r w:rsidRPr="00C66FE4">
        <w:rPr>
          <w:rFonts w:ascii="Calibri" w:hAnsi="Calibri" w:cs="Calibri"/>
        </w:rPr>
        <w:lastRenderedPageBreak/>
        <w:t xml:space="preserve">In Quasi-Judicial proceedings in which a Public Official is recused or must abstain from further involvement in the proceeding, the department, agency, board, </w:t>
      </w:r>
      <w:proofErr w:type="gramStart"/>
      <w:r w:rsidRPr="00C66FE4">
        <w:rPr>
          <w:rFonts w:ascii="Calibri" w:hAnsi="Calibri" w:cs="Calibri"/>
        </w:rPr>
        <w:t>commission</w:t>
      </w:r>
      <w:proofErr w:type="gramEnd"/>
      <w:r w:rsidRPr="00C66FE4">
        <w:rPr>
          <w:rFonts w:ascii="Calibri" w:hAnsi="Calibri" w:cs="Calibri"/>
        </w:rPr>
        <w:t xml:space="preserve"> or other public entity involved in the Quasi-Judicial proceeding shall determine whether a substitute is required to act in the place of the Public Official.  The procedure to assign a substitute for the Public Official shall be determined by North Dakota law or rule.  In the absence of applicable North Dakota law or rule, the department, agency, board, </w:t>
      </w:r>
      <w:proofErr w:type="gramStart"/>
      <w:r w:rsidRPr="00C66FE4">
        <w:rPr>
          <w:rFonts w:ascii="Calibri" w:hAnsi="Calibri" w:cs="Calibri"/>
        </w:rPr>
        <w:t>commission</w:t>
      </w:r>
      <w:proofErr w:type="gramEnd"/>
      <w:r w:rsidRPr="00C66FE4">
        <w:rPr>
          <w:rFonts w:ascii="Calibri" w:hAnsi="Calibri" w:cs="Calibri"/>
        </w:rPr>
        <w:t xml:space="preserve"> or public entity may adopt policies consistent with this rule to address vacancies caused by a Public Officials recusal or abstention in any Quasi-Judicial proceeding.  </w:t>
      </w:r>
    </w:p>
    <w:p w14:paraId="1D793145" w14:textId="66DC9438" w:rsidR="00930402" w:rsidRPr="009A15BD" w:rsidRDefault="00930402" w:rsidP="00930402">
      <w:pPr>
        <w:pStyle w:val="NoSpacing"/>
        <w:spacing w:line="480" w:lineRule="auto"/>
        <w:jc w:val="both"/>
        <w:rPr>
          <w:b/>
          <w:bCs/>
        </w:rPr>
      </w:pPr>
      <w:r w:rsidRPr="009A15BD">
        <w:rPr>
          <w:b/>
          <w:bCs/>
        </w:rPr>
        <w:t>115-04-01-05</w:t>
      </w:r>
      <w:r w:rsidRPr="009A15BD">
        <w:rPr>
          <w:b/>
          <w:bCs/>
        </w:rPr>
        <w:tab/>
        <w:t>Adoption of More Restrictive Rules</w:t>
      </w:r>
    </w:p>
    <w:p w14:paraId="4D63E4BB" w14:textId="77777777" w:rsidR="00930402" w:rsidRPr="00C66FE4" w:rsidRDefault="00930402" w:rsidP="00930402">
      <w:pPr>
        <w:pStyle w:val="NoSpacing"/>
        <w:spacing w:line="480" w:lineRule="auto"/>
        <w:jc w:val="both"/>
      </w:pPr>
      <w:r w:rsidRPr="00C66FE4">
        <w:t>Any agency, office, commission, board, or entity subject to these rules may adopt conflict of interest rules that are more restrictive but may not adopt conflict of interest rules that are less restrictive.</w:t>
      </w:r>
    </w:p>
    <w:p w14:paraId="0C4AAA69" w14:textId="77777777" w:rsidR="00930402" w:rsidRPr="00C66FE4" w:rsidRDefault="00930402" w:rsidP="00930402">
      <w:pPr>
        <w:pStyle w:val="NoSpacing"/>
        <w:spacing w:line="480" w:lineRule="auto"/>
        <w:jc w:val="both"/>
      </w:pPr>
    </w:p>
    <w:p w14:paraId="767A9438" w14:textId="77777777" w:rsidR="00154B75" w:rsidRPr="00C66FE4" w:rsidRDefault="00154B75" w:rsidP="00154B75">
      <w:pPr>
        <w:pStyle w:val="NoSpacing"/>
        <w:spacing w:line="480" w:lineRule="auto"/>
        <w:jc w:val="both"/>
      </w:pPr>
    </w:p>
    <w:bookmarkEnd w:id="7"/>
    <w:p w14:paraId="79FF78A9" w14:textId="77777777" w:rsidR="00154B75" w:rsidRPr="00C66FE4" w:rsidRDefault="00154B75" w:rsidP="005646C8">
      <w:pPr>
        <w:spacing w:line="480" w:lineRule="auto"/>
        <w:jc w:val="both"/>
      </w:pPr>
    </w:p>
    <w:sectPr w:rsidR="00154B75" w:rsidRPr="00C66FE4" w:rsidSect="008C0E22">
      <w:footerReference w:type="default" r:id="rId8"/>
      <w:pgSz w:w="12240" w:h="15840"/>
      <w:pgMar w:top="1440" w:right="1440" w:bottom="1440" w:left="16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6EB1E" w14:textId="77777777" w:rsidR="007C328A" w:rsidRDefault="007C328A" w:rsidP="00040D02">
      <w:pPr>
        <w:spacing w:after="0" w:line="240" w:lineRule="auto"/>
      </w:pPr>
      <w:r>
        <w:separator/>
      </w:r>
    </w:p>
  </w:endnote>
  <w:endnote w:type="continuationSeparator" w:id="0">
    <w:p w14:paraId="5EA7B406" w14:textId="77777777" w:rsidR="007C328A" w:rsidRDefault="007C328A"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417E77C" w14:textId="77777777" w:rsidR="007C328A" w:rsidRDefault="007C328A" w:rsidP="00040D02">
      <w:pPr>
        <w:spacing w:after="0" w:line="240" w:lineRule="auto"/>
      </w:pPr>
      <w:r>
        <w:separator/>
      </w:r>
    </w:p>
  </w:footnote>
  <w:footnote w:type="continuationSeparator" w:id="0">
    <w:p w14:paraId="6209EFFE" w14:textId="77777777" w:rsidR="007C328A" w:rsidRDefault="007C328A"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D662B"/>
    <w:multiLevelType w:val="multilevel"/>
    <w:tmpl w:val="B8040744"/>
    <w:lvl w:ilvl="0">
      <w:start w:val="115"/>
      <w:numFmt w:val="decimal"/>
      <w:lvlText w:val="%1"/>
      <w:lvlJc w:val="left"/>
      <w:pPr>
        <w:ind w:left="240" w:hanging="600"/>
      </w:pPr>
      <w:rPr>
        <w:rFonts w:hint="default"/>
      </w:rPr>
    </w:lvl>
    <w:lvl w:ilvl="1">
      <w:start w:val="2"/>
      <w:numFmt w:val="decimalZero"/>
      <w:lvlText w:val="%1-%2"/>
      <w:lvlJc w:val="left"/>
      <w:pPr>
        <w:ind w:left="240" w:hanging="600"/>
      </w:pPr>
      <w:rPr>
        <w:rFonts w:hint="default"/>
      </w:rPr>
    </w:lvl>
    <w:lvl w:ilvl="2">
      <w:start w:val="1"/>
      <w:numFmt w:val="decimal"/>
      <w:lvlText w:val="%1-%2.%3"/>
      <w:lvlJc w:val="left"/>
      <w:pPr>
        <w:ind w:left="360" w:hanging="720"/>
      </w:pPr>
      <w:rPr>
        <w:rFonts w:hint="default"/>
      </w:rPr>
    </w:lvl>
    <w:lvl w:ilvl="3">
      <w:start w:val="1"/>
      <w:numFmt w:val="decimal"/>
      <w:lvlText w:val="%1-%2.%3.%4"/>
      <w:lvlJc w:val="left"/>
      <w:pPr>
        <w:ind w:left="360" w:hanging="720"/>
      </w:pPr>
      <w:rPr>
        <w:rFonts w:hint="default"/>
      </w:rPr>
    </w:lvl>
    <w:lvl w:ilvl="4">
      <w:start w:val="1"/>
      <w:numFmt w:val="decimal"/>
      <w:lvlText w:val="%1-%2.%3.%4.%5"/>
      <w:lvlJc w:val="left"/>
      <w:pPr>
        <w:ind w:left="720" w:hanging="1080"/>
      </w:pPr>
      <w:rPr>
        <w:rFonts w:hint="default"/>
      </w:rPr>
    </w:lvl>
    <w:lvl w:ilvl="5">
      <w:start w:val="1"/>
      <w:numFmt w:val="decimal"/>
      <w:lvlText w:val="%1-%2.%3.%4.%5.%6"/>
      <w:lvlJc w:val="left"/>
      <w:pPr>
        <w:ind w:left="720" w:hanging="1080"/>
      </w:pPr>
      <w:rPr>
        <w:rFonts w:hint="default"/>
      </w:rPr>
    </w:lvl>
    <w:lvl w:ilvl="6">
      <w:start w:val="1"/>
      <w:numFmt w:val="decimal"/>
      <w:lvlText w:val="%1-%2.%3.%4.%5.%6.%7"/>
      <w:lvlJc w:val="left"/>
      <w:pPr>
        <w:ind w:left="1080" w:hanging="1440"/>
      </w:pPr>
      <w:rPr>
        <w:rFonts w:hint="default"/>
      </w:rPr>
    </w:lvl>
    <w:lvl w:ilvl="7">
      <w:start w:val="1"/>
      <w:numFmt w:val="decimal"/>
      <w:lvlText w:val="%1-%2.%3.%4.%5.%6.%7.%8"/>
      <w:lvlJc w:val="left"/>
      <w:pPr>
        <w:ind w:left="1080" w:hanging="1440"/>
      </w:pPr>
      <w:rPr>
        <w:rFonts w:hint="default"/>
      </w:rPr>
    </w:lvl>
    <w:lvl w:ilvl="8">
      <w:start w:val="1"/>
      <w:numFmt w:val="decimal"/>
      <w:lvlText w:val="%1-%2.%3.%4.%5.%6.%7.%8.%9"/>
      <w:lvlJc w:val="left"/>
      <w:pPr>
        <w:ind w:left="1440" w:hanging="1800"/>
      </w:pPr>
      <w:rPr>
        <w:rFonts w:hint="default"/>
      </w:rPr>
    </w:lvl>
  </w:abstractNum>
  <w:abstractNum w:abstractNumId="1" w15:restartNumberingAfterBreak="0">
    <w:nsid w:val="01747CE7"/>
    <w:multiLevelType w:val="hybridMultilevel"/>
    <w:tmpl w:val="30C45A0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DA4DC9"/>
    <w:multiLevelType w:val="hybridMultilevel"/>
    <w:tmpl w:val="CCF8DE9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E4A5CA5"/>
    <w:multiLevelType w:val="hybridMultilevel"/>
    <w:tmpl w:val="80C0E1E0"/>
    <w:lvl w:ilvl="0" w:tplc="FFFFFFFF">
      <w:start w:val="1"/>
      <w:numFmt w:val="lowerLetter"/>
      <w:lvlText w:val="%1."/>
      <w:lvlJc w:val="left"/>
      <w:pPr>
        <w:ind w:left="1440" w:hanging="360"/>
      </w:pPr>
    </w:lvl>
    <w:lvl w:ilvl="1" w:tplc="FFFFFFFF">
      <w:start w:val="9"/>
      <w:numFmt w:val="lowerLetter"/>
      <w:lvlText w:val="%2."/>
      <w:lvlJc w:val="left"/>
      <w:pPr>
        <w:ind w:left="72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4" w15:restartNumberingAfterBreak="0">
    <w:nsid w:val="10314DC9"/>
    <w:multiLevelType w:val="hybridMultilevel"/>
    <w:tmpl w:val="BA447AEA"/>
    <w:lvl w:ilvl="0" w:tplc="0409000F">
      <w:start w:val="1"/>
      <w:numFmt w:val="decimal"/>
      <w:lvlText w:val="%1."/>
      <w:lvlJc w:val="left"/>
      <w:pPr>
        <w:ind w:left="63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902147"/>
    <w:multiLevelType w:val="hybridMultilevel"/>
    <w:tmpl w:val="045216F6"/>
    <w:lvl w:ilvl="0" w:tplc="625614D8">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150C3485"/>
    <w:multiLevelType w:val="hybridMultilevel"/>
    <w:tmpl w:val="A754CB9A"/>
    <w:lvl w:ilvl="0" w:tplc="4CC0B5C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10" w15:restartNumberingAfterBreak="0">
    <w:nsid w:val="1C756424"/>
    <w:multiLevelType w:val="hybridMultilevel"/>
    <w:tmpl w:val="FEEE94A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D893E85"/>
    <w:multiLevelType w:val="hybridMultilevel"/>
    <w:tmpl w:val="F1DC34EC"/>
    <w:lvl w:ilvl="0" w:tplc="0409000F">
      <w:start w:val="1"/>
      <w:numFmt w:val="decimal"/>
      <w:lvlText w:val="%1."/>
      <w:lvlJc w:val="left"/>
      <w:pPr>
        <w:ind w:left="720" w:hanging="360"/>
      </w:pPr>
      <w:rPr>
        <w:rFonts w:hint="default"/>
      </w:rPr>
    </w:lvl>
    <w:lvl w:ilvl="1" w:tplc="04090019">
      <w:start w:val="1"/>
      <w:numFmt w:val="lowerLetter"/>
      <w:lvlText w:val="%2."/>
      <w:lvlJc w:val="left"/>
      <w:pPr>
        <w:ind w:left="36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EAA0741"/>
    <w:multiLevelType w:val="hybridMultilevel"/>
    <w:tmpl w:val="D9DEA65A"/>
    <w:lvl w:ilvl="0" w:tplc="02C23940">
      <w:start w:val="2"/>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26F24537"/>
    <w:multiLevelType w:val="hybridMultilevel"/>
    <w:tmpl w:val="72D00BFA"/>
    <w:lvl w:ilvl="0" w:tplc="0409000F">
      <w:start w:val="1"/>
      <w:numFmt w:val="decimal"/>
      <w:lvlText w:val="%1."/>
      <w:lvlJc w:val="left"/>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C4F7BA5"/>
    <w:multiLevelType w:val="hybridMultilevel"/>
    <w:tmpl w:val="CC5A2910"/>
    <w:lvl w:ilvl="0" w:tplc="E4564332">
      <w:start w:val="1"/>
      <w:numFmt w:val="upperLetter"/>
      <w:lvlText w:val="%1."/>
      <w:lvlJc w:val="left"/>
      <w:pPr>
        <w:ind w:left="1080" w:hanging="360"/>
      </w:pPr>
      <w:rPr>
        <w:rFonts w:hint="default"/>
      </w:rPr>
    </w:lvl>
    <w:lvl w:ilvl="1" w:tplc="9C781BAE">
      <w:start w:val="1"/>
      <w:numFmt w:val="decimal"/>
      <w:lvlText w:val="%2."/>
      <w:lvlJc w:val="left"/>
      <w:pPr>
        <w:ind w:left="1800" w:hanging="360"/>
      </w:pPr>
      <w:rPr>
        <w:rFonts w:asciiTheme="minorHAnsi" w:eastAsiaTheme="minorHAnsi" w:hAnsiTheme="minorHAnsi" w:cstheme="minorBidi"/>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2DD50E99"/>
    <w:multiLevelType w:val="hybridMultilevel"/>
    <w:tmpl w:val="9A74E37A"/>
    <w:lvl w:ilvl="0" w:tplc="FFB0B16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EAC420E"/>
    <w:multiLevelType w:val="hybridMultilevel"/>
    <w:tmpl w:val="F1640F22"/>
    <w:lvl w:ilvl="0" w:tplc="85BC03A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2DE33FA"/>
    <w:multiLevelType w:val="hybridMultilevel"/>
    <w:tmpl w:val="7A86C54E"/>
    <w:lvl w:ilvl="0" w:tplc="073842DC">
      <w:start w:val="6"/>
      <w:numFmt w:val="decimal"/>
      <w:lvlText w:val="%1."/>
      <w:lvlJc w:val="lef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5941D32"/>
    <w:multiLevelType w:val="hybridMultilevel"/>
    <w:tmpl w:val="8EDAC1B6"/>
    <w:lvl w:ilvl="0" w:tplc="0E8EC0DC">
      <w:start w:val="1"/>
      <w:numFmt w:val="decimal"/>
      <w:lvlText w:val="%1."/>
      <w:lvlJc w:val="left"/>
      <w:pPr>
        <w:ind w:left="1080" w:hanging="360"/>
      </w:pPr>
      <w:rPr>
        <w:rFonts w:asciiTheme="minorHAnsi" w:eastAsiaTheme="minorHAnsi" w:hAnsiTheme="minorHAnsi" w:cstheme="minorBidi"/>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3EC72136"/>
    <w:multiLevelType w:val="hybridMultilevel"/>
    <w:tmpl w:val="80C0E1E0"/>
    <w:lvl w:ilvl="0" w:tplc="FFFFFFFF">
      <w:start w:val="1"/>
      <w:numFmt w:val="lowerLetter"/>
      <w:lvlText w:val="%1."/>
      <w:lvlJc w:val="left"/>
      <w:pPr>
        <w:ind w:left="1440" w:hanging="360"/>
      </w:pPr>
    </w:lvl>
    <w:lvl w:ilvl="1" w:tplc="FFFFFFFF">
      <w:start w:val="9"/>
      <w:numFmt w:val="lowerLetter"/>
      <w:lvlText w:val="%2."/>
      <w:lvlJc w:val="left"/>
      <w:pPr>
        <w:ind w:left="720" w:hanging="360"/>
      </w:pPr>
      <w:rPr>
        <w:rFonts w:hint="default"/>
      </w:rPr>
    </w:lvl>
    <w:lvl w:ilvl="2" w:tplc="FFFFFFFF">
      <w:start w:val="1"/>
      <w:numFmt w:val="lowerRoman"/>
      <w:lvlText w:val="%3."/>
      <w:lvlJc w:val="right"/>
      <w:pPr>
        <w:ind w:left="2880" w:hanging="180"/>
      </w:pPr>
    </w:lvl>
    <w:lvl w:ilvl="3" w:tplc="FFFFFFFF">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21" w15:restartNumberingAfterBreak="0">
    <w:nsid w:val="409F51D2"/>
    <w:multiLevelType w:val="hybridMultilevel"/>
    <w:tmpl w:val="A754CB9A"/>
    <w:lvl w:ilvl="0" w:tplc="4CC0B5C8">
      <w:start w:val="1"/>
      <w:numFmt w:val="decimal"/>
      <w:lvlText w:val="%1."/>
      <w:lvlJc w:val="left"/>
      <w:pPr>
        <w:ind w:left="72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40D61016"/>
    <w:multiLevelType w:val="hybridMultilevel"/>
    <w:tmpl w:val="3B7A3AC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5A17428"/>
    <w:multiLevelType w:val="hybridMultilevel"/>
    <w:tmpl w:val="A754CB9A"/>
    <w:lvl w:ilvl="0" w:tplc="4CC0B5C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47F54FF3"/>
    <w:multiLevelType w:val="hybridMultilevel"/>
    <w:tmpl w:val="80C0E1E0"/>
    <w:lvl w:ilvl="0" w:tplc="04090019">
      <w:start w:val="1"/>
      <w:numFmt w:val="lowerLetter"/>
      <w:lvlText w:val="%1."/>
      <w:lvlJc w:val="left"/>
      <w:pPr>
        <w:ind w:left="1440" w:hanging="360"/>
      </w:pPr>
    </w:lvl>
    <w:lvl w:ilvl="1" w:tplc="3DF2D498">
      <w:start w:val="9"/>
      <w:numFmt w:val="lowerLetter"/>
      <w:lvlText w:val="%2."/>
      <w:lvlJc w:val="left"/>
      <w:pPr>
        <w:ind w:left="720" w:hanging="360"/>
      </w:pPr>
      <w:rPr>
        <w:rFonts w:hint="default"/>
      </w:r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4E2F1953"/>
    <w:multiLevelType w:val="hybridMultilevel"/>
    <w:tmpl w:val="FCC84706"/>
    <w:lvl w:ilvl="0" w:tplc="F6A6F9A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4FF94CF7"/>
    <w:multiLevelType w:val="hybridMultilevel"/>
    <w:tmpl w:val="3B02423C"/>
    <w:lvl w:ilvl="0" w:tplc="26DC2876">
      <w:start w:val="4"/>
      <w:numFmt w:val="decimal"/>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5BC859DD"/>
    <w:multiLevelType w:val="hybridMultilevel"/>
    <w:tmpl w:val="A754CB9A"/>
    <w:lvl w:ilvl="0" w:tplc="4CC0B5C8">
      <w:start w:val="1"/>
      <w:numFmt w:val="decimal"/>
      <w:lvlText w:val="%1."/>
      <w:lvlJc w:val="left"/>
      <w:pPr>
        <w:ind w:left="810" w:hanging="360"/>
      </w:pPr>
      <w:rPr>
        <w:rFonts w:asciiTheme="minorHAnsi" w:eastAsiaTheme="minorHAnsi" w:hAnsiTheme="minorHAnsi" w:cstheme="minorBidi"/>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CB76AA"/>
    <w:multiLevelType w:val="hybridMultilevel"/>
    <w:tmpl w:val="BA447AEA"/>
    <w:lvl w:ilvl="0" w:tplc="FFFFFFFF">
      <w:start w:val="1"/>
      <w:numFmt w:val="decimal"/>
      <w:lvlText w:val="%1."/>
      <w:lvlJc w:val="left"/>
      <w:pPr>
        <w:ind w:left="63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6FB55515"/>
    <w:multiLevelType w:val="hybridMultilevel"/>
    <w:tmpl w:val="7E76FBC4"/>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2BE2C55"/>
    <w:multiLevelType w:val="hybridMultilevel"/>
    <w:tmpl w:val="A754CB9A"/>
    <w:lvl w:ilvl="0" w:tplc="4CC0B5C8">
      <w:start w:val="1"/>
      <w:numFmt w:val="decimal"/>
      <w:lvlText w:val="%1."/>
      <w:lvlJc w:val="left"/>
      <w:pPr>
        <w:ind w:left="360" w:hanging="360"/>
      </w:pPr>
      <w:rPr>
        <w:rFonts w:asciiTheme="minorHAnsi" w:eastAsiaTheme="minorHAnsi" w:hAnsiTheme="minorHAnsi" w:cstheme="minorBidi"/>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7546574E"/>
    <w:multiLevelType w:val="hybridMultilevel"/>
    <w:tmpl w:val="02A2819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D9348F0"/>
    <w:multiLevelType w:val="hybridMultilevel"/>
    <w:tmpl w:val="A95E23FC"/>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9"/>
  </w:num>
  <w:num w:numId="2">
    <w:abstractNumId w:val="7"/>
  </w:num>
  <w:num w:numId="3">
    <w:abstractNumId w:val="5"/>
  </w:num>
  <w:num w:numId="4">
    <w:abstractNumId w:val="25"/>
  </w:num>
  <w:num w:numId="5">
    <w:abstractNumId w:val="0"/>
  </w:num>
  <w:num w:numId="6">
    <w:abstractNumId w:val="19"/>
  </w:num>
  <w:num w:numId="7">
    <w:abstractNumId w:val="17"/>
  </w:num>
  <w:num w:numId="8">
    <w:abstractNumId w:val="31"/>
  </w:num>
  <w:num w:numId="9">
    <w:abstractNumId w:val="34"/>
  </w:num>
  <w:num w:numId="10">
    <w:abstractNumId w:val="6"/>
  </w:num>
  <w:num w:numId="11">
    <w:abstractNumId w:val="28"/>
  </w:num>
  <w:num w:numId="12">
    <w:abstractNumId w:val="26"/>
  </w:num>
  <w:num w:numId="13">
    <w:abstractNumId w:val="23"/>
  </w:num>
  <w:num w:numId="14">
    <w:abstractNumId w:val="2"/>
  </w:num>
  <w:num w:numId="15">
    <w:abstractNumId w:val="21"/>
  </w:num>
  <w:num w:numId="16">
    <w:abstractNumId w:val="8"/>
  </w:num>
  <w:num w:numId="17">
    <w:abstractNumId w:val="32"/>
  </w:num>
  <w:num w:numId="18">
    <w:abstractNumId w:val="29"/>
  </w:num>
  <w:num w:numId="19">
    <w:abstractNumId w:val="27"/>
  </w:num>
  <w:num w:numId="20">
    <w:abstractNumId w:val="22"/>
  </w:num>
  <w:num w:numId="21">
    <w:abstractNumId w:val="1"/>
  </w:num>
  <w:num w:numId="22">
    <w:abstractNumId w:val="14"/>
  </w:num>
  <w:num w:numId="23">
    <w:abstractNumId w:val="15"/>
  </w:num>
  <w:num w:numId="24">
    <w:abstractNumId w:val="4"/>
  </w:num>
  <w:num w:numId="25">
    <w:abstractNumId w:val="10"/>
  </w:num>
  <w:num w:numId="26">
    <w:abstractNumId w:val="13"/>
  </w:num>
  <w:num w:numId="27">
    <w:abstractNumId w:val="24"/>
  </w:num>
  <w:num w:numId="28">
    <w:abstractNumId w:val="3"/>
  </w:num>
  <w:num w:numId="29">
    <w:abstractNumId w:val="20"/>
  </w:num>
  <w:num w:numId="30">
    <w:abstractNumId w:val="12"/>
  </w:num>
  <w:num w:numId="31">
    <w:abstractNumId w:val="30"/>
  </w:num>
  <w:num w:numId="32">
    <w:abstractNumId w:val="18"/>
  </w:num>
  <w:num w:numId="33">
    <w:abstractNumId w:val="33"/>
  </w:num>
  <w:num w:numId="34">
    <w:abstractNumId w:val="11"/>
  </w:num>
  <w:num w:numId="3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52D6"/>
    <w:rsid w:val="00000483"/>
    <w:rsid w:val="0000387F"/>
    <w:rsid w:val="000056EA"/>
    <w:rsid w:val="00006D8B"/>
    <w:rsid w:val="00015544"/>
    <w:rsid w:val="00021974"/>
    <w:rsid w:val="00021EAE"/>
    <w:rsid w:val="00023E10"/>
    <w:rsid w:val="00024D2C"/>
    <w:rsid w:val="000308EB"/>
    <w:rsid w:val="00030992"/>
    <w:rsid w:val="00031350"/>
    <w:rsid w:val="00032982"/>
    <w:rsid w:val="00040CF8"/>
    <w:rsid w:val="00040D02"/>
    <w:rsid w:val="00047B52"/>
    <w:rsid w:val="00050FF0"/>
    <w:rsid w:val="00052A74"/>
    <w:rsid w:val="00054BB2"/>
    <w:rsid w:val="0006074D"/>
    <w:rsid w:val="00065283"/>
    <w:rsid w:val="00074AF8"/>
    <w:rsid w:val="000752C7"/>
    <w:rsid w:val="00075582"/>
    <w:rsid w:val="00082127"/>
    <w:rsid w:val="00083C32"/>
    <w:rsid w:val="00084E2A"/>
    <w:rsid w:val="00086E57"/>
    <w:rsid w:val="0009322B"/>
    <w:rsid w:val="00097A31"/>
    <w:rsid w:val="000A10FE"/>
    <w:rsid w:val="000A2DD1"/>
    <w:rsid w:val="000B1A91"/>
    <w:rsid w:val="000C531D"/>
    <w:rsid w:val="000D4ABF"/>
    <w:rsid w:val="000E1972"/>
    <w:rsid w:val="000E3446"/>
    <w:rsid w:val="001032E6"/>
    <w:rsid w:val="0010594A"/>
    <w:rsid w:val="00105DA5"/>
    <w:rsid w:val="00107E59"/>
    <w:rsid w:val="00121E68"/>
    <w:rsid w:val="00122C0E"/>
    <w:rsid w:val="0012641C"/>
    <w:rsid w:val="001268CF"/>
    <w:rsid w:val="00126C6C"/>
    <w:rsid w:val="00131203"/>
    <w:rsid w:val="00132718"/>
    <w:rsid w:val="001446B8"/>
    <w:rsid w:val="001507C1"/>
    <w:rsid w:val="00154A64"/>
    <w:rsid w:val="00154B75"/>
    <w:rsid w:val="00155973"/>
    <w:rsid w:val="00157008"/>
    <w:rsid w:val="00157850"/>
    <w:rsid w:val="00161A40"/>
    <w:rsid w:val="00161C48"/>
    <w:rsid w:val="00165306"/>
    <w:rsid w:val="001679A9"/>
    <w:rsid w:val="001779CE"/>
    <w:rsid w:val="00180756"/>
    <w:rsid w:val="00180F28"/>
    <w:rsid w:val="00181168"/>
    <w:rsid w:val="00183855"/>
    <w:rsid w:val="00185164"/>
    <w:rsid w:val="00185177"/>
    <w:rsid w:val="00192E2E"/>
    <w:rsid w:val="00193234"/>
    <w:rsid w:val="001957A8"/>
    <w:rsid w:val="00197EE1"/>
    <w:rsid w:val="001A3718"/>
    <w:rsid w:val="001A4D9B"/>
    <w:rsid w:val="001A6BCA"/>
    <w:rsid w:val="001B0600"/>
    <w:rsid w:val="001B1387"/>
    <w:rsid w:val="001B51C1"/>
    <w:rsid w:val="001B66A6"/>
    <w:rsid w:val="001B7492"/>
    <w:rsid w:val="001C44D8"/>
    <w:rsid w:val="001E2A00"/>
    <w:rsid w:val="001E64CA"/>
    <w:rsid w:val="001F2B3B"/>
    <w:rsid w:val="001F5F29"/>
    <w:rsid w:val="00201FCD"/>
    <w:rsid w:val="00210115"/>
    <w:rsid w:val="00212846"/>
    <w:rsid w:val="00220B16"/>
    <w:rsid w:val="002225C8"/>
    <w:rsid w:val="002239CD"/>
    <w:rsid w:val="00237B2B"/>
    <w:rsid w:val="00243FAD"/>
    <w:rsid w:val="0024783B"/>
    <w:rsid w:val="00251629"/>
    <w:rsid w:val="00257CE3"/>
    <w:rsid w:val="00260366"/>
    <w:rsid w:val="00271CC9"/>
    <w:rsid w:val="00271E62"/>
    <w:rsid w:val="00275208"/>
    <w:rsid w:val="002772CD"/>
    <w:rsid w:val="00280F77"/>
    <w:rsid w:val="00291F8C"/>
    <w:rsid w:val="002969B9"/>
    <w:rsid w:val="002B1BA7"/>
    <w:rsid w:val="002B63D4"/>
    <w:rsid w:val="002C2B2D"/>
    <w:rsid w:val="002C3C70"/>
    <w:rsid w:val="002C47A8"/>
    <w:rsid w:val="002F30A9"/>
    <w:rsid w:val="002F44EE"/>
    <w:rsid w:val="00307F76"/>
    <w:rsid w:val="003148C7"/>
    <w:rsid w:val="00327D06"/>
    <w:rsid w:val="00335F5F"/>
    <w:rsid w:val="00336EE4"/>
    <w:rsid w:val="00340329"/>
    <w:rsid w:val="00347868"/>
    <w:rsid w:val="0036603E"/>
    <w:rsid w:val="00367465"/>
    <w:rsid w:val="0039339C"/>
    <w:rsid w:val="003D2657"/>
    <w:rsid w:val="003D4695"/>
    <w:rsid w:val="003F27E2"/>
    <w:rsid w:val="003F4ED2"/>
    <w:rsid w:val="00403540"/>
    <w:rsid w:val="0040514F"/>
    <w:rsid w:val="00407B74"/>
    <w:rsid w:val="004112D1"/>
    <w:rsid w:val="00413F33"/>
    <w:rsid w:val="00415C47"/>
    <w:rsid w:val="00416F14"/>
    <w:rsid w:val="004251BD"/>
    <w:rsid w:val="00431E3A"/>
    <w:rsid w:val="00432556"/>
    <w:rsid w:val="0043653D"/>
    <w:rsid w:val="00446FC8"/>
    <w:rsid w:val="004478E8"/>
    <w:rsid w:val="00450378"/>
    <w:rsid w:val="00454430"/>
    <w:rsid w:val="004567CD"/>
    <w:rsid w:val="00457244"/>
    <w:rsid w:val="004657DC"/>
    <w:rsid w:val="00471C8D"/>
    <w:rsid w:val="00475CBF"/>
    <w:rsid w:val="00494666"/>
    <w:rsid w:val="00496B55"/>
    <w:rsid w:val="004A6BA6"/>
    <w:rsid w:val="004B6DA1"/>
    <w:rsid w:val="004C4FF3"/>
    <w:rsid w:val="004D3A72"/>
    <w:rsid w:val="004D6333"/>
    <w:rsid w:val="004D7B1B"/>
    <w:rsid w:val="004E76FC"/>
    <w:rsid w:val="004F3A39"/>
    <w:rsid w:val="004F422A"/>
    <w:rsid w:val="00500CE7"/>
    <w:rsid w:val="00513FB1"/>
    <w:rsid w:val="00516983"/>
    <w:rsid w:val="0052418B"/>
    <w:rsid w:val="00524AB7"/>
    <w:rsid w:val="00524F66"/>
    <w:rsid w:val="00530C1E"/>
    <w:rsid w:val="00532967"/>
    <w:rsid w:val="005342F5"/>
    <w:rsid w:val="00534623"/>
    <w:rsid w:val="005405DC"/>
    <w:rsid w:val="00541C69"/>
    <w:rsid w:val="0054210B"/>
    <w:rsid w:val="005423DB"/>
    <w:rsid w:val="00544FFE"/>
    <w:rsid w:val="00551C93"/>
    <w:rsid w:val="005520DC"/>
    <w:rsid w:val="005531D1"/>
    <w:rsid w:val="00560A65"/>
    <w:rsid w:val="005633A1"/>
    <w:rsid w:val="005646C8"/>
    <w:rsid w:val="00570DEA"/>
    <w:rsid w:val="00577083"/>
    <w:rsid w:val="00582681"/>
    <w:rsid w:val="00583F4E"/>
    <w:rsid w:val="00591394"/>
    <w:rsid w:val="005922F7"/>
    <w:rsid w:val="005A00C0"/>
    <w:rsid w:val="005A1173"/>
    <w:rsid w:val="005A23BA"/>
    <w:rsid w:val="005B0406"/>
    <w:rsid w:val="005C528F"/>
    <w:rsid w:val="005D2B64"/>
    <w:rsid w:val="005D517F"/>
    <w:rsid w:val="005E5B0B"/>
    <w:rsid w:val="005F2D47"/>
    <w:rsid w:val="005F4F58"/>
    <w:rsid w:val="00611A61"/>
    <w:rsid w:val="00613822"/>
    <w:rsid w:val="00620C3A"/>
    <w:rsid w:val="006249A3"/>
    <w:rsid w:val="006266EE"/>
    <w:rsid w:val="00630D0E"/>
    <w:rsid w:val="0064544B"/>
    <w:rsid w:val="006454C1"/>
    <w:rsid w:val="0065242F"/>
    <w:rsid w:val="00661DFC"/>
    <w:rsid w:val="006630F7"/>
    <w:rsid w:val="00663F64"/>
    <w:rsid w:val="00666276"/>
    <w:rsid w:val="0067173E"/>
    <w:rsid w:val="00674E99"/>
    <w:rsid w:val="0067531A"/>
    <w:rsid w:val="00675332"/>
    <w:rsid w:val="00682801"/>
    <w:rsid w:val="006864CA"/>
    <w:rsid w:val="006879FB"/>
    <w:rsid w:val="006A2F85"/>
    <w:rsid w:val="006A4EB3"/>
    <w:rsid w:val="006A7146"/>
    <w:rsid w:val="006B1560"/>
    <w:rsid w:val="006B24C3"/>
    <w:rsid w:val="006B4436"/>
    <w:rsid w:val="006B447D"/>
    <w:rsid w:val="006B4D83"/>
    <w:rsid w:val="006B60E6"/>
    <w:rsid w:val="006C284E"/>
    <w:rsid w:val="006C3136"/>
    <w:rsid w:val="006C37D7"/>
    <w:rsid w:val="006D0B8A"/>
    <w:rsid w:val="006D39C4"/>
    <w:rsid w:val="006D4923"/>
    <w:rsid w:val="006D4F0B"/>
    <w:rsid w:val="006F4748"/>
    <w:rsid w:val="006F5E02"/>
    <w:rsid w:val="006F6800"/>
    <w:rsid w:val="00702350"/>
    <w:rsid w:val="00710544"/>
    <w:rsid w:val="00711A03"/>
    <w:rsid w:val="0071350B"/>
    <w:rsid w:val="00714131"/>
    <w:rsid w:val="00722190"/>
    <w:rsid w:val="00724016"/>
    <w:rsid w:val="007254C8"/>
    <w:rsid w:val="0073089F"/>
    <w:rsid w:val="00732653"/>
    <w:rsid w:val="007359F8"/>
    <w:rsid w:val="00740530"/>
    <w:rsid w:val="007415D1"/>
    <w:rsid w:val="007420A9"/>
    <w:rsid w:val="00743E65"/>
    <w:rsid w:val="007506CC"/>
    <w:rsid w:val="00750B49"/>
    <w:rsid w:val="00756D78"/>
    <w:rsid w:val="0077408F"/>
    <w:rsid w:val="00776964"/>
    <w:rsid w:val="00777766"/>
    <w:rsid w:val="00780252"/>
    <w:rsid w:val="00783906"/>
    <w:rsid w:val="007909C4"/>
    <w:rsid w:val="00793F58"/>
    <w:rsid w:val="00794606"/>
    <w:rsid w:val="00794797"/>
    <w:rsid w:val="007A217A"/>
    <w:rsid w:val="007A2450"/>
    <w:rsid w:val="007A3A9E"/>
    <w:rsid w:val="007B1F3B"/>
    <w:rsid w:val="007B325B"/>
    <w:rsid w:val="007B394C"/>
    <w:rsid w:val="007B7E46"/>
    <w:rsid w:val="007C328A"/>
    <w:rsid w:val="007D3DA3"/>
    <w:rsid w:val="007D5013"/>
    <w:rsid w:val="007E0BB0"/>
    <w:rsid w:val="007E1A93"/>
    <w:rsid w:val="007E3455"/>
    <w:rsid w:val="007E67DA"/>
    <w:rsid w:val="007E6E74"/>
    <w:rsid w:val="007F1D7B"/>
    <w:rsid w:val="008047A9"/>
    <w:rsid w:val="0081495D"/>
    <w:rsid w:val="00820D37"/>
    <w:rsid w:val="008221F1"/>
    <w:rsid w:val="00824830"/>
    <w:rsid w:val="008332A7"/>
    <w:rsid w:val="00843569"/>
    <w:rsid w:val="00846A9A"/>
    <w:rsid w:val="008471FE"/>
    <w:rsid w:val="00855DE7"/>
    <w:rsid w:val="0085695C"/>
    <w:rsid w:val="00860940"/>
    <w:rsid w:val="00861AEF"/>
    <w:rsid w:val="00862FC8"/>
    <w:rsid w:val="0086794B"/>
    <w:rsid w:val="00870093"/>
    <w:rsid w:val="00872656"/>
    <w:rsid w:val="00876A39"/>
    <w:rsid w:val="008808E4"/>
    <w:rsid w:val="00894061"/>
    <w:rsid w:val="00895ECA"/>
    <w:rsid w:val="008A0507"/>
    <w:rsid w:val="008A0BD8"/>
    <w:rsid w:val="008A27C5"/>
    <w:rsid w:val="008A4307"/>
    <w:rsid w:val="008A468C"/>
    <w:rsid w:val="008A497F"/>
    <w:rsid w:val="008A4B51"/>
    <w:rsid w:val="008A6B3F"/>
    <w:rsid w:val="008B4F28"/>
    <w:rsid w:val="008C0E22"/>
    <w:rsid w:val="008C613C"/>
    <w:rsid w:val="008C69D6"/>
    <w:rsid w:val="008C7176"/>
    <w:rsid w:val="008C7E79"/>
    <w:rsid w:val="008E215D"/>
    <w:rsid w:val="008E7660"/>
    <w:rsid w:val="008E7B63"/>
    <w:rsid w:val="00913FA8"/>
    <w:rsid w:val="00923EAD"/>
    <w:rsid w:val="00930402"/>
    <w:rsid w:val="00937780"/>
    <w:rsid w:val="009455C6"/>
    <w:rsid w:val="00946C93"/>
    <w:rsid w:val="00953E79"/>
    <w:rsid w:val="009752BC"/>
    <w:rsid w:val="00977B2D"/>
    <w:rsid w:val="00993B12"/>
    <w:rsid w:val="00993D5F"/>
    <w:rsid w:val="00997A5B"/>
    <w:rsid w:val="009A15BD"/>
    <w:rsid w:val="009A24CF"/>
    <w:rsid w:val="009A2F44"/>
    <w:rsid w:val="009A5A68"/>
    <w:rsid w:val="009B1ADA"/>
    <w:rsid w:val="009B64E1"/>
    <w:rsid w:val="009B7342"/>
    <w:rsid w:val="009B7B02"/>
    <w:rsid w:val="009C1617"/>
    <w:rsid w:val="009C41D4"/>
    <w:rsid w:val="009D1E75"/>
    <w:rsid w:val="009D1EA5"/>
    <w:rsid w:val="009E059B"/>
    <w:rsid w:val="009E414A"/>
    <w:rsid w:val="009F54D3"/>
    <w:rsid w:val="00A03D1B"/>
    <w:rsid w:val="00A15B1F"/>
    <w:rsid w:val="00A16FE8"/>
    <w:rsid w:val="00A22DD3"/>
    <w:rsid w:val="00A45815"/>
    <w:rsid w:val="00A562F1"/>
    <w:rsid w:val="00A56953"/>
    <w:rsid w:val="00A70876"/>
    <w:rsid w:val="00A70F17"/>
    <w:rsid w:val="00A81B9E"/>
    <w:rsid w:val="00A86527"/>
    <w:rsid w:val="00AA19F5"/>
    <w:rsid w:val="00AA1E10"/>
    <w:rsid w:val="00AA4155"/>
    <w:rsid w:val="00AA5010"/>
    <w:rsid w:val="00AB451B"/>
    <w:rsid w:val="00AB518C"/>
    <w:rsid w:val="00AC0DC7"/>
    <w:rsid w:val="00AC152E"/>
    <w:rsid w:val="00AD0B22"/>
    <w:rsid w:val="00AD1391"/>
    <w:rsid w:val="00AD6F18"/>
    <w:rsid w:val="00AE7C8D"/>
    <w:rsid w:val="00AF0346"/>
    <w:rsid w:val="00AF5135"/>
    <w:rsid w:val="00AF52FB"/>
    <w:rsid w:val="00B01272"/>
    <w:rsid w:val="00B02D51"/>
    <w:rsid w:val="00B033C1"/>
    <w:rsid w:val="00B052D6"/>
    <w:rsid w:val="00B05367"/>
    <w:rsid w:val="00B140DA"/>
    <w:rsid w:val="00B257FA"/>
    <w:rsid w:val="00B329E3"/>
    <w:rsid w:val="00B34731"/>
    <w:rsid w:val="00B4103F"/>
    <w:rsid w:val="00B4200C"/>
    <w:rsid w:val="00B45106"/>
    <w:rsid w:val="00B504FD"/>
    <w:rsid w:val="00B6058B"/>
    <w:rsid w:val="00B648D4"/>
    <w:rsid w:val="00B661D0"/>
    <w:rsid w:val="00B70A92"/>
    <w:rsid w:val="00B71B73"/>
    <w:rsid w:val="00B81A61"/>
    <w:rsid w:val="00B87809"/>
    <w:rsid w:val="00B920A9"/>
    <w:rsid w:val="00B96C54"/>
    <w:rsid w:val="00BA1621"/>
    <w:rsid w:val="00BA282C"/>
    <w:rsid w:val="00BA396F"/>
    <w:rsid w:val="00BA780F"/>
    <w:rsid w:val="00BB403E"/>
    <w:rsid w:val="00BB59FB"/>
    <w:rsid w:val="00BC537B"/>
    <w:rsid w:val="00BD3C2D"/>
    <w:rsid w:val="00BD66D8"/>
    <w:rsid w:val="00BD7EC0"/>
    <w:rsid w:val="00BE28C5"/>
    <w:rsid w:val="00BF1F02"/>
    <w:rsid w:val="00BF317D"/>
    <w:rsid w:val="00C162B0"/>
    <w:rsid w:val="00C176A0"/>
    <w:rsid w:val="00C20CA0"/>
    <w:rsid w:val="00C25678"/>
    <w:rsid w:val="00C2730F"/>
    <w:rsid w:val="00C40EC7"/>
    <w:rsid w:val="00C43500"/>
    <w:rsid w:val="00C54A7F"/>
    <w:rsid w:val="00C562A7"/>
    <w:rsid w:val="00C6184D"/>
    <w:rsid w:val="00C66FE4"/>
    <w:rsid w:val="00C675E9"/>
    <w:rsid w:val="00C71524"/>
    <w:rsid w:val="00C73204"/>
    <w:rsid w:val="00C76265"/>
    <w:rsid w:val="00C80B3D"/>
    <w:rsid w:val="00C92C7E"/>
    <w:rsid w:val="00CA0B46"/>
    <w:rsid w:val="00CA2470"/>
    <w:rsid w:val="00CA2A89"/>
    <w:rsid w:val="00CA2F20"/>
    <w:rsid w:val="00CA4AA7"/>
    <w:rsid w:val="00CB1A7A"/>
    <w:rsid w:val="00CB3CE7"/>
    <w:rsid w:val="00CC3F81"/>
    <w:rsid w:val="00CC4316"/>
    <w:rsid w:val="00CD6057"/>
    <w:rsid w:val="00CE099F"/>
    <w:rsid w:val="00CE35A4"/>
    <w:rsid w:val="00CF00D5"/>
    <w:rsid w:val="00CF5237"/>
    <w:rsid w:val="00CF7B04"/>
    <w:rsid w:val="00D012BA"/>
    <w:rsid w:val="00D068C7"/>
    <w:rsid w:val="00D1231E"/>
    <w:rsid w:val="00D13B11"/>
    <w:rsid w:val="00D21479"/>
    <w:rsid w:val="00D30F07"/>
    <w:rsid w:val="00D34A87"/>
    <w:rsid w:val="00D4584A"/>
    <w:rsid w:val="00D559A8"/>
    <w:rsid w:val="00D60EEC"/>
    <w:rsid w:val="00D6224E"/>
    <w:rsid w:val="00D63215"/>
    <w:rsid w:val="00D637F4"/>
    <w:rsid w:val="00D668CB"/>
    <w:rsid w:val="00D75771"/>
    <w:rsid w:val="00D80296"/>
    <w:rsid w:val="00D8089C"/>
    <w:rsid w:val="00D92E7A"/>
    <w:rsid w:val="00D94B01"/>
    <w:rsid w:val="00D97C39"/>
    <w:rsid w:val="00DA29D1"/>
    <w:rsid w:val="00DB0E48"/>
    <w:rsid w:val="00DB3029"/>
    <w:rsid w:val="00DB58C3"/>
    <w:rsid w:val="00DB72D6"/>
    <w:rsid w:val="00DC20D0"/>
    <w:rsid w:val="00DC306E"/>
    <w:rsid w:val="00DC721E"/>
    <w:rsid w:val="00DD0507"/>
    <w:rsid w:val="00DD1014"/>
    <w:rsid w:val="00DD2C6D"/>
    <w:rsid w:val="00DE444A"/>
    <w:rsid w:val="00DE5D55"/>
    <w:rsid w:val="00DE657D"/>
    <w:rsid w:val="00DF38BA"/>
    <w:rsid w:val="00E005F2"/>
    <w:rsid w:val="00E00E36"/>
    <w:rsid w:val="00E03442"/>
    <w:rsid w:val="00E04DA4"/>
    <w:rsid w:val="00E15C2C"/>
    <w:rsid w:val="00E21A6C"/>
    <w:rsid w:val="00E24081"/>
    <w:rsid w:val="00E27AA8"/>
    <w:rsid w:val="00E41695"/>
    <w:rsid w:val="00E43653"/>
    <w:rsid w:val="00E446A4"/>
    <w:rsid w:val="00E45C6A"/>
    <w:rsid w:val="00E50B49"/>
    <w:rsid w:val="00E554D7"/>
    <w:rsid w:val="00E56620"/>
    <w:rsid w:val="00E569D8"/>
    <w:rsid w:val="00E6081B"/>
    <w:rsid w:val="00E63FE8"/>
    <w:rsid w:val="00E662E9"/>
    <w:rsid w:val="00E761DF"/>
    <w:rsid w:val="00E76DA3"/>
    <w:rsid w:val="00E81FB4"/>
    <w:rsid w:val="00E84F99"/>
    <w:rsid w:val="00E86672"/>
    <w:rsid w:val="00E929FD"/>
    <w:rsid w:val="00E95816"/>
    <w:rsid w:val="00E97996"/>
    <w:rsid w:val="00EA06A8"/>
    <w:rsid w:val="00EA1372"/>
    <w:rsid w:val="00EA5D85"/>
    <w:rsid w:val="00EB04B6"/>
    <w:rsid w:val="00EB20FE"/>
    <w:rsid w:val="00EC1816"/>
    <w:rsid w:val="00EC2B56"/>
    <w:rsid w:val="00EC3678"/>
    <w:rsid w:val="00ED5D3C"/>
    <w:rsid w:val="00EE00AA"/>
    <w:rsid w:val="00EE11F9"/>
    <w:rsid w:val="00EF3993"/>
    <w:rsid w:val="00F14B79"/>
    <w:rsid w:val="00F24393"/>
    <w:rsid w:val="00F25F87"/>
    <w:rsid w:val="00F261AD"/>
    <w:rsid w:val="00F27BC0"/>
    <w:rsid w:val="00F35E53"/>
    <w:rsid w:val="00F47F1A"/>
    <w:rsid w:val="00F61C58"/>
    <w:rsid w:val="00F62B6B"/>
    <w:rsid w:val="00F62E5A"/>
    <w:rsid w:val="00F65250"/>
    <w:rsid w:val="00F72A83"/>
    <w:rsid w:val="00F76F2F"/>
    <w:rsid w:val="00F9505F"/>
    <w:rsid w:val="00F963C9"/>
    <w:rsid w:val="00F97981"/>
    <w:rsid w:val="00FA723D"/>
    <w:rsid w:val="00FA7CD9"/>
    <w:rsid w:val="00FC4BA1"/>
    <w:rsid w:val="00FC613E"/>
    <w:rsid w:val="00FD363C"/>
    <w:rsid w:val="00FD3AA5"/>
    <w:rsid w:val="00FD4B47"/>
    <w:rsid w:val="00FE39D3"/>
    <w:rsid w:val="00FE50D7"/>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56C9B5"/>
  <w15:docId w15:val="{A0C52B6C-4989-4D72-A3A3-E0981B49CF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 w:type="paragraph" w:styleId="FootnoteText">
    <w:name w:val="footnote text"/>
    <w:basedOn w:val="Normal"/>
    <w:link w:val="FootnoteTextChar"/>
    <w:uiPriority w:val="99"/>
    <w:unhideWhenUsed/>
    <w:rsid w:val="00D668CB"/>
    <w:pPr>
      <w:spacing w:after="0" w:line="240" w:lineRule="auto"/>
    </w:pPr>
    <w:rPr>
      <w:sz w:val="20"/>
      <w:szCs w:val="20"/>
    </w:rPr>
  </w:style>
  <w:style w:type="character" w:customStyle="1" w:styleId="FootnoteTextChar">
    <w:name w:val="Footnote Text Char"/>
    <w:basedOn w:val="DefaultParagraphFont"/>
    <w:link w:val="FootnoteText"/>
    <w:uiPriority w:val="99"/>
    <w:rsid w:val="00D668CB"/>
    <w:rPr>
      <w:sz w:val="20"/>
      <w:szCs w:val="20"/>
    </w:rPr>
  </w:style>
  <w:style w:type="character" w:styleId="FootnoteReference">
    <w:name w:val="footnote reference"/>
    <w:basedOn w:val="DefaultParagraphFont"/>
    <w:uiPriority w:val="99"/>
    <w:semiHidden/>
    <w:unhideWhenUsed/>
    <w:rsid w:val="00D668CB"/>
    <w:rPr>
      <w:vertAlign w:val="superscript"/>
    </w:rPr>
  </w:style>
  <w:style w:type="character" w:styleId="Hyperlink">
    <w:name w:val="Hyperlink"/>
    <w:basedOn w:val="DefaultParagraphFont"/>
    <w:uiPriority w:val="99"/>
    <w:unhideWhenUsed/>
    <w:rsid w:val="00FE39D3"/>
    <w:rPr>
      <w:color w:val="0563C1" w:themeColor="hyperlink"/>
      <w:u w:val="single"/>
    </w:rPr>
  </w:style>
  <w:style w:type="character" w:styleId="UnresolvedMention">
    <w:name w:val="Unresolved Mention"/>
    <w:basedOn w:val="DefaultParagraphFont"/>
    <w:uiPriority w:val="99"/>
    <w:semiHidden/>
    <w:unhideWhenUsed/>
    <w:rsid w:val="00FE39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0BF632E-80A4-4F69-9AB0-79EA6ABAB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123</TotalTime>
  <Pages>9</Pages>
  <Words>2203</Words>
  <Characters>12561</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State of North Dakota</Company>
  <LinksUpToDate>false</LinksUpToDate>
  <CharactersWithSpaces>14735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Goodman, Ronald E.</dc:creator>
  <cp:keywords/>
  <dc:description/>
  <cp:lastModifiedBy>Gaugler, Holly A.</cp:lastModifiedBy>
  <cp:revision>28</cp:revision>
  <cp:lastPrinted>2021-06-30T17:39:00Z</cp:lastPrinted>
  <dcterms:created xsi:type="dcterms:W3CDTF">2022-01-24T21:38:00Z</dcterms:created>
  <dcterms:modified xsi:type="dcterms:W3CDTF">2022-01-25T00:08:00Z</dcterms:modified>
</cp:coreProperties>
</file>