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C9F4" w14:textId="61B06AC7" w:rsidR="00327D06" w:rsidRPr="00DD0507" w:rsidRDefault="00DD0507" w:rsidP="00110C46">
      <w:pPr>
        <w:pStyle w:val="NoSpacing"/>
        <w:spacing w:line="480" w:lineRule="auto"/>
        <w:jc w:val="both"/>
        <w:rPr>
          <w:b/>
          <w:bCs/>
        </w:rPr>
      </w:pPr>
      <w:r w:rsidRPr="00DD0507">
        <w:rPr>
          <w:b/>
          <w:bCs/>
        </w:rPr>
        <w:t>Title 115</w:t>
      </w:r>
    </w:p>
    <w:p w14:paraId="0A6AEFBF" w14:textId="5793F365" w:rsidR="00DD0507" w:rsidRPr="00DD0507" w:rsidRDefault="00824830" w:rsidP="00110C46">
      <w:pPr>
        <w:pStyle w:val="NoSpacing"/>
        <w:spacing w:line="480" w:lineRule="auto"/>
        <w:jc w:val="both"/>
        <w:rPr>
          <w:b/>
          <w:bCs/>
        </w:rPr>
      </w:pPr>
      <w:r>
        <w:rPr>
          <w:b/>
          <w:bCs/>
        </w:rPr>
        <w:t>ETHICS COMMISSION</w:t>
      </w:r>
    </w:p>
    <w:p w14:paraId="11F248B4" w14:textId="58E9C0B1" w:rsidR="00777766" w:rsidRDefault="00DD0507" w:rsidP="00110C46">
      <w:pPr>
        <w:pStyle w:val="NoSpacing"/>
        <w:spacing w:line="480" w:lineRule="auto"/>
        <w:jc w:val="both"/>
      </w:pPr>
      <w:r>
        <w:t>Article</w:t>
      </w:r>
    </w:p>
    <w:p w14:paraId="78D56447" w14:textId="6F9A1843" w:rsidR="00407B74" w:rsidRDefault="00407B74" w:rsidP="00110C46">
      <w:pPr>
        <w:pStyle w:val="NoSpacing"/>
        <w:spacing w:line="480" w:lineRule="auto"/>
        <w:jc w:val="both"/>
      </w:pPr>
      <w:r>
        <w:t>115-01         Reserved</w:t>
      </w:r>
    </w:p>
    <w:p w14:paraId="020CB867" w14:textId="6D1F510F" w:rsidR="00DD0507" w:rsidRPr="002F44EE" w:rsidRDefault="00591394" w:rsidP="00110C46">
      <w:pPr>
        <w:pStyle w:val="NoSpacing"/>
        <w:numPr>
          <w:ilvl w:val="1"/>
          <w:numId w:val="5"/>
        </w:numPr>
        <w:spacing w:line="480" w:lineRule="auto"/>
        <w:ind w:hanging="240"/>
        <w:jc w:val="both"/>
        <w:rPr>
          <w:bCs/>
        </w:rPr>
      </w:pPr>
      <w:r>
        <w:t xml:space="preserve">       </w:t>
      </w:r>
      <w:r w:rsidR="00407B74">
        <w:t>Complaint</w:t>
      </w:r>
      <w:r w:rsidR="00DD0507">
        <w:t>s</w:t>
      </w:r>
    </w:p>
    <w:p w14:paraId="192A4F83" w14:textId="78DD81FD" w:rsidR="002F44EE" w:rsidRDefault="002F44EE" w:rsidP="00110C46">
      <w:pPr>
        <w:pStyle w:val="NoSpacing"/>
        <w:numPr>
          <w:ilvl w:val="1"/>
          <w:numId w:val="5"/>
        </w:numPr>
        <w:spacing w:line="480" w:lineRule="auto"/>
        <w:ind w:hanging="240"/>
        <w:jc w:val="both"/>
        <w:rPr>
          <w:bCs/>
        </w:rPr>
      </w:pPr>
      <w:r>
        <w:rPr>
          <w:bCs/>
        </w:rPr>
        <w:t xml:space="preserve">       Gifts</w:t>
      </w:r>
    </w:p>
    <w:p w14:paraId="64D0D1FA" w14:textId="5EAC6FFC" w:rsidR="00630D0E" w:rsidRPr="00DD0507" w:rsidRDefault="00630D0E" w:rsidP="00110C46">
      <w:pPr>
        <w:pStyle w:val="NoSpacing"/>
        <w:numPr>
          <w:ilvl w:val="1"/>
          <w:numId w:val="5"/>
        </w:numPr>
        <w:spacing w:line="480" w:lineRule="auto"/>
        <w:ind w:hanging="240"/>
        <w:jc w:val="both"/>
        <w:rPr>
          <w:bCs/>
        </w:rPr>
      </w:pPr>
      <w:r>
        <w:rPr>
          <w:bCs/>
        </w:rPr>
        <w:t xml:space="preserve">        Conflict of interest</w:t>
      </w:r>
    </w:p>
    <w:p w14:paraId="7F36DC64" w14:textId="59C582A0" w:rsidR="00407B74" w:rsidRPr="00407B74" w:rsidRDefault="00DD0507" w:rsidP="00110C46">
      <w:pPr>
        <w:pStyle w:val="NoSpacing"/>
        <w:spacing w:line="480" w:lineRule="auto"/>
        <w:jc w:val="both"/>
        <w:rPr>
          <w:bCs/>
        </w:rPr>
      </w:pPr>
      <w:r>
        <w:t>Chapter</w:t>
      </w:r>
      <w:r w:rsidR="00407B74">
        <w:t xml:space="preserve"> </w:t>
      </w:r>
    </w:p>
    <w:p w14:paraId="20890E4C" w14:textId="2090C2C2" w:rsidR="00407B74" w:rsidRDefault="00DD0507" w:rsidP="00110C46">
      <w:pPr>
        <w:pStyle w:val="NoSpacing"/>
        <w:spacing w:line="480" w:lineRule="auto"/>
        <w:jc w:val="both"/>
        <w:rPr>
          <w:bCs/>
        </w:rPr>
      </w:pPr>
      <w:r>
        <w:rPr>
          <w:bCs/>
        </w:rPr>
        <w:t>115-0</w:t>
      </w:r>
      <w:r w:rsidR="00630D0E">
        <w:rPr>
          <w:bCs/>
        </w:rPr>
        <w:t>4</w:t>
      </w:r>
      <w:r>
        <w:rPr>
          <w:bCs/>
        </w:rPr>
        <w:t xml:space="preserve">-01   </w:t>
      </w:r>
      <w:r w:rsidR="00630D0E">
        <w:rPr>
          <w:bCs/>
        </w:rPr>
        <w:t xml:space="preserve">Public </w:t>
      </w:r>
      <w:r w:rsidR="00C80B3D">
        <w:rPr>
          <w:bCs/>
        </w:rPr>
        <w:t>O</w:t>
      </w:r>
      <w:r w:rsidR="00630D0E">
        <w:rPr>
          <w:bCs/>
        </w:rPr>
        <w:t xml:space="preserve">fficials </w:t>
      </w:r>
      <w:r w:rsidR="00C80B3D">
        <w:rPr>
          <w:bCs/>
        </w:rPr>
        <w:t>C</w:t>
      </w:r>
      <w:r w:rsidR="00630D0E">
        <w:rPr>
          <w:bCs/>
        </w:rPr>
        <w:t xml:space="preserve">onflict of </w:t>
      </w:r>
      <w:r w:rsidR="00C80B3D">
        <w:rPr>
          <w:bCs/>
        </w:rPr>
        <w:t>I</w:t>
      </w:r>
      <w:r w:rsidR="00630D0E">
        <w:rPr>
          <w:bCs/>
        </w:rPr>
        <w:t>nterest</w:t>
      </w:r>
      <w:r w:rsidR="002F44EE">
        <w:rPr>
          <w:bCs/>
        </w:rPr>
        <w:t xml:space="preserve"> </w:t>
      </w:r>
    </w:p>
    <w:p w14:paraId="1A75A992" w14:textId="18E9FBB5" w:rsidR="00DD0507" w:rsidRDefault="00DD0507" w:rsidP="00110C46">
      <w:pPr>
        <w:pStyle w:val="NoSpacing"/>
        <w:spacing w:line="480" w:lineRule="auto"/>
        <w:jc w:val="both"/>
        <w:rPr>
          <w:bCs/>
        </w:rPr>
      </w:pPr>
      <w:r>
        <w:rPr>
          <w:bCs/>
        </w:rPr>
        <w:t>Section</w:t>
      </w:r>
    </w:p>
    <w:p w14:paraId="636A176F" w14:textId="21836851" w:rsidR="00DD0507" w:rsidRDefault="00DD0507" w:rsidP="00110C46">
      <w:pPr>
        <w:pStyle w:val="NoSpacing"/>
        <w:spacing w:line="480" w:lineRule="auto"/>
        <w:jc w:val="both"/>
        <w:rPr>
          <w:bCs/>
        </w:rPr>
      </w:pPr>
      <w:r>
        <w:rPr>
          <w:bCs/>
        </w:rPr>
        <w:t>115-0</w:t>
      </w:r>
      <w:r w:rsidR="00630D0E">
        <w:rPr>
          <w:bCs/>
        </w:rPr>
        <w:t>4</w:t>
      </w:r>
      <w:r>
        <w:rPr>
          <w:bCs/>
        </w:rPr>
        <w:t>-01-01</w:t>
      </w:r>
      <w:r>
        <w:rPr>
          <w:bCs/>
        </w:rPr>
        <w:tab/>
        <w:t>Definitions</w:t>
      </w:r>
    </w:p>
    <w:p w14:paraId="7DC002E0" w14:textId="476BE9F2" w:rsidR="00DD0507" w:rsidRDefault="00DD0507" w:rsidP="00110C46">
      <w:pPr>
        <w:pStyle w:val="NoSpacing"/>
        <w:spacing w:line="480" w:lineRule="auto"/>
        <w:jc w:val="both"/>
        <w:rPr>
          <w:bCs/>
        </w:rPr>
      </w:pPr>
      <w:bookmarkStart w:id="0" w:name="_Hlk73611375"/>
      <w:r>
        <w:rPr>
          <w:bCs/>
        </w:rPr>
        <w:t>115-0</w:t>
      </w:r>
      <w:r w:rsidR="00630D0E">
        <w:rPr>
          <w:bCs/>
        </w:rPr>
        <w:t>4</w:t>
      </w:r>
      <w:r>
        <w:rPr>
          <w:bCs/>
        </w:rPr>
        <w:t>-01-02</w:t>
      </w:r>
      <w:r>
        <w:rPr>
          <w:bCs/>
        </w:rPr>
        <w:tab/>
      </w:r>
      <w:r w:rsidR="00C80B3D">
        <w:rPr>
          <w:bCs/>
        </w:rPr>
        <w:t>Disclosure of Conflict of Interests</w:t>
      </w:r>
    </w:p>
    <w:p w14:paraId="26F5CFC6" w14:textId="3AE25E08" w:rsidR="0077408F" w:rsidRPr="0077408F" w:rsidRDefault="006B60E6" w:rsidP="00110C46">
      <w:pPr>
        <w:pStyle w:val="NoSpacing"/>
        <w:spacing w:line="480" w:lineRule="auto"/>
        <w:jc w:val="both"/>
        <w:rPr>
          <w:bCs/>
        </w:rPr>
      </w:pPr>
      <w:bookmarkStart w:id="1" w:name="_Hlk75950596"/>
      <w:bookmarkEnd w:id="0"/>
      <w:r>
        <w:rPr>
          <w:bCs/>
        </w:rPr>
        <w:t>115-0</w:t>
      </w:r>
      <w:r w:rsidR="00630D0E">
        <w:rPr>
          <w:bCs/>
        </w:rPr>
        <w:t>4</w:t>
      </w:r>
      <w:r>
        <w:rPr>
          <w:bCs/>
        </w:rPr>
        <w:t xml:space="preserve">-01-03     </w:t>
      </w:r>
      <w:r w:rsidR="0077408F" w:rsidRPr="0077408F">
        <w:rPr>
          <w:bCs/>
        </w:rPr>
        <w:t>Public Official Disqualification or Abstention</w:t>
      </w:r>
    </w:p>
    <w:bookmarkEnd w:id="1"/>
    <w:p w14:paraId="565A6B77" w14:textId="590E8ACC" w:rsidR="00154B75" w:rsidRPr="0077408F" w:rsidRDefault="00154B75" w:rsidP="00154B75">
      <w:pPr>
        <w:pStyle w:val="NoSpacing"/>
        <w:spacing w:line="480" w:lineRule="auto"/>
        <w:jc w:val="both"/>
        <w:rPr>
          <w:bCs/>
        </w:rPr>
      </w:pPr>
      <w:r>
        <w:rPr>
          <w:bCs/>
        </w:rPr>
        <w:t>115-04-01-04     Adoption of More Restrictive Rules</w:t>
      </w:r>
    </w:p>
    <w:p w14:paraId="67AC1EBF" w14:textId="51247E65" w:rsidR="00AE7C8D" w:rsidRDefault="00AE7C8D" w:rsidP="00110C46">
      <w:pPr>
        <w:pStyle w:val="NoSpacing"/>
        <w:tabs>
          <w:tab w:val="left" w:pos="6660"/>
        </w:tabs>
        <w:spacing w:line="480" w:lineRule="auto"/>
        <w:jc w:val="both"/>
        <w:rPr>
          <w:bCs/>
        </w:rPr>
      </w:pPr>
    </w:p>
    <w:p w14:paraId="0011CFF2" w14:textId="466335EE" w:rsidR="00AE7C8D" w:rsidRDefault="00AE7C8D" w:rsidP="00110C46">
      <w:pPr>
        <w:pStyle w:val="NoSpacing"/>
        <w:spacing w:line="480" w:lineRule="auto"/>
        <w:jc w:val="both"/>
        <w:rPr>
          <w:bCs/>
        </w:rPr>
      </w:pPr>
    </w:p>
    <w:p w14:paraId="6718BC15" w14:textId="0FD8DD3A" w:rsidR="00AE7C8D" w:rsidRDefault="00AE7C8D" w:rsidP="00110C46">
      <w:pPr>
        <w:pStyle w:val="NoSpacing"/>
        <w:spacing w:line="480" w:lineRule="auto"/>
        <w:jc w:val="both"/>
        <w:rPr>
          <w:b/>
        </w:rPr>
      </w:pPr>
      <w:r w:rsidRPr="00AE7C8D">
        <w:rPr>
          <w:b/>
        </w:rPr>
        <w:t>115-0</w:t>
      </w:r>
      <w:r w:rsidR="00121E68">
        <w:rPr>
          <w:b/>
        </w:rPr>
        <w:t>4</w:t>
      </w:r>
      <w:r w:rsidRPr="00AE7C8D">
        <w:rPr>
          <w:b/>
        </w:rPr>
        <w:t>-01-01.  Definitions</w:t>
      </w:r>
    </w:p>
    <w:p w14:paraId="49F30BFD" w14:textId="77777777" w:rsidR="00F27BC0" w:rsidRDefault="001C44D8" w:rsidP="00110C46">
      <w:pPr>
        <w:pStyle w:val="ListParagraph"/>
        <w:numPr>
          <w:ilvl w:val="0"/>
          <w:numId w:val="13"/>
        </w:numPr>
        <w:tabs>
          <w:tab w:val="left" w:pos="360"/>
        </w:tabs>
        <w:spacing w:line="480" w:lineRule="auto"/>
        <w:ind w:left="360"/>
        <w:jc w:val="both"/>
      </w:pPr>
      <w:bookmarkStart w:id="2" w:name="_Hlk73606903"/>
      <w:r>
        <w:t>“Conflict of interest” means</w:t>
      </w:r>
      <w:r w:rsidR="00F27BC0">
        <w:t>:</w:t>
      </w:r>
    </w:p>
    <w:p w14:paraId="5F9BAED7" w14:textId="6575A741" w:rsidR="00F27BC0" w:rsidRDefault="00F27BC0" w:rsidP="00110C46">
      <w:pPr>
        <w:pStyle w:val="ListParagraph"/>
        <w:numPr>
          <w:ilvl w:val="1"/>
          <w:numId w:val="13"/>
        </w:numPr>
        <w:tabs>
          <w:tab w:val="left" w:pos="360"/>
        </w:tabs>
        <w:spacing w:line="480" w:lineRule="auto"/>
        <w:jc w:val="both"/>
      </w:pPr>
      <w:r>
        <w:t>A</w:t>
      </w:r>
      <w:r w:rsidR="001C44D8">
        <w:t xml:space="preserve"> public official as part of the public official’s duties must make a decision, take action or perform a quasi-judicial act in a matter affecting circumstances or persons with whom the public official has received a </w:t>
      </w:r>
      <w:proofErr w:type="gramStart"/>
      <w:r w:rsidR="001C44D8">
        <w:t>gift;</w:t>
      </w:r>
      <w:proofErr w:type="gramEnd"/>
      <w:r w:rsidR="001C44D8">
        <w:t xml:space="preserve"> </w:t>
      </w:r>
    </w:p>
    <w:p w14:paraId="511BFD6E" w14:textId="6F7E7EBC" w:rsidR="00F27BC0" w:rsidRDefault="00F27BC0" w:rsidP="00110C46">
      <w:pPr>
        <w:pStyle w:val="ListParagraph"/>
        <w:numPr>
          <w:ilvl w:val="1"/>
          <w:numId w:val="13"/>
        </w:numPr>
        <w:tabs>
          <w:tab w:val="left" w:pos="360"/>
        </w:tabs>
        <w:spacing w:line="480" w:lineRule="auto"/>
        <w:jc w:val="both"/>
      </w:pPr>
      <w:r>
        <w:t>P</w:t>
      </w:r>
      <w:r w:rsidR="001C44D8">
        <w:t xml:space="preserve">ersons or entities or issues with which the public official has a significant financial interest; and </w:t>
      </w:r>
    </w:p>
    <w:p w14:paraId="53D1FF9D" w14:textId="62D0EE4D" w:rsidR="00F27BC0" w:rsidRDefault="00F27BC0" w:rsidP="00110C46">
      <w:pPr>
        <w:pStyle w:val="ListParagraph"/>
        <w:numPr>
          <w:ilvl w:val="1"/>
          <w:numId w:val="13"/>
        </w:numPr>
        <w:tabs>
          <w:tab w:val="left" w:pos="360"/>
        </w:tabs>
        <w:spacing w:line="480" w:lineRule="auto"/>
        <w:jc w:val="both"/>
      </w:pPr>
      <w:r>
        <w:lastRenderedPageBreak/>
        <w:t>P</w:t>
      </w:r>
      <w:r w:rsidR="001C44D8">
        <w:t xml:space="preserve">ersons to whom the public official has a commitment in a private capacity to that person’s interests. </w:t>
      </w:r>
    </w:p>
    <w:p w14:paraId="612A7016" w14:textId="0E61AA61" w:rsidR="001C44D8" w:rsidRDefault="001C44D8" w:rsidP="00110C46">
      <w:pPr>
        <w:pStyle w:val="ListParagraph"/>
        <w:numPr>
          <w:ilvl w:val="1"/>
          <w:numId w:val="13"/>
        </w:numPr>
        <w:tabs>
          <w:tab w:val="left" w:pos="360"/>
        </w:tabs>
        <w:spacing w:line="480" w:lineRule="auto"/>
        <w:jc w:val="both"/>
      </w:pPr>
      <w:r>
        <w:t xml:space="preserve">It is presumed that a public official does not have a conflict of interest if the public official would not derive any personal benefit which is not greater than that accruing to any other member of any general business, profession, </w:t>
      </w:r>
      <w:proofErr w:type="gramStart"/>
      <w:r>
        <w:t>occupation</w:t>
      </w:r>
      <w:proofErr w:type="gramEnd"/>
      <w:r>
        <w:t xml:space="preserve"> or group affected by the matter.</w:t>
      </w:r>
    </w:p>
    <w:p w14:paraId="53514C64" w14:textId="74B8C69D" w:rsidR="0085695C" w:rsidRDefault="0085695C" w:rsidP="00110C46">
      <w:pPr>
        <w:pStyle w:val="ListParagraph"/>
        <w:numPr>
          <w:ilvl w:val="0"/>
          <w:numId w:val="13"/>
        </w:numPr>
        <w:spacing w:line="480" w:lineRule="auto"/>
        <w:ind w:left="450" w:hanging="450"/>
        <w:jc w:val="both"/>
      </w:pPr>
      <w:bookmarkStart w:id="3" w:name="_Hlk73607014"/>
      <w:r>
        <w:t xml:space="preserve">“Gift” means a gift not otherwise permitted under Article XIV of the North Dakota Constitution, N.D.C.C. Chapter </w:t>
      </w:r>
      <w:proofErr w:type="gramStart"/>
      <w:r>
        <w:t>54-66</w:t>
      </w:r>
      <w:proofErr w:type="gramEnd"/>
      <w:r>
        <w:t xml:space="preserve"> or N.D.A.C. Chapter 115-03-01.</w:t>
      </w:r>
    </w:p>
    <w:p w14:paraId="7C305CA1" w14:textId="3575A013" w:rsidR="00C54A7F" w:rsidRDefault="0085695C" w:rsidP="00110C46">
      <w:pPr>
        <w:pStyle w:val="ListParagraph"/>
        <w:numPr>
          <w:ilvl w:val="0"/>
          <w:numId w:val="13"/>
        </w:numPr>
        <w:spacing w:line="480" w:lineRule="auto"/>
        <w:ind w:left="450" w:hanging="450"/>
        <w:jc w:val="both"/>
      </w:pPr>
      <w:r>
        <w:t>“Immediate family” means</w:t>
      </w:r>
      <w:r w:rsidR="00C54A7F">
        <w:t xml:space="preserve"> a:</w:t>
      </w:r>
    </w:p>
    <w:p w14:paraId="373C8676" w14:textId="16CAD6A4" w:rsidR="00347868" w:rsidRDefault="00347868" w:rsidP="00110C46">
      <w:pPr>
        <w:pStyle w:val="ListParagraph"/>
        <w:numPr>
          <w:ilvl w:val="1"/>
          <w:numId w:val="13"/>
        </w:numPr>
        <w:spacing w:line="480" w:lineRule="auto"/>
        <w:jc w:val="both"/>
      </w:pPr>
      <w:proofErr w:type="gramStart"/>
      <w:r>
        <w:t>P</w:t>
      </w:r>
      <w:r w:rsidR="009D1E75">
        <w:t>arent;</w:t>
      </w:r>
      <w:proofErr w:type="gramEnd"/>
      <w:r w:rsidR="009D1E75">
        <w:t xml:space="preserve"> </w:t>
      </w:r>
    </w:p>
    <w:p w14:paraId="04A91204" w14:textId="7E98FCCF" w:rsidR="00347868" w:rsidRDefault="00347868" w:rsidP="00110C46">
      <w:pPr>
        <w:pStyle w:val="ListParagraph"/>
        <w:numPr>
          <w:ilvl w:val="1"/>
          <w:numId w:val="13"/>
        </w:numPr>
        <w:spacing w:line="480" w:lineRule="auto"/>
        <w:jc w:val="both"/>
      </w:pPr>
      <w:proofErr w:type="gramStart"/>
      <w:r>
        <w:t>S</w:t>
      </w:r>
      <w:r w:rsidR="009D1E75">
        <w:t>ibling;</w:t>
      </w:r>
      <w:proofErr w:type="gramEnd"/>
      <w:r w:rsidR="009D1E75">
        <w:t xml:space="preserve"> </w:t>
      </w:r>
    </w:p>
    <w:p w14:paraId="521F7114" w14:textId="4E2789FC" w:rsidR="00347868" w:rsidRDefault="00347868" w:rsidP="00110C46">
      <w:pPr>
        <w:pStyle w:val="ListParagraph"/>
        <w:numPr>
          <w:ilvl w:val="1"/>
          <w:numId w:val="13"/>
        </w:numPr>
        <w:spacing w:line="480" w:lineRule="auto"/>
        <w:jc w:val="both"/>
      </w:pPr>
      <w:r>
        <w:t>C</w:t>
      </w:r>
      <w:r w:rsidR="009D1E75">
        <w:t xml:space="preserve">hild by blood, adoption, or </w:t>
      </w:r>
      <w:proofErr w:type="gramStart"/>
      <w:r w:rsidR="009D1E75">
        <w:t>marriage;</w:t>
      </w:r>
      <w:proofErr w:type="gramEnd"/>
      <w:r w:rsidR="009D1E75">
        <w:t xml:space="preserve"> </w:t>
      </w:r>
    </w:p>
    <w:p w14:paraId="4CD74C71" w14:textId="5DE55AE4" w:rsidR="00347868" w:rsidRDefault="00347868" w:rsidP="00110C46">
      <w:pPr>
        <w:pStyle w:val="ListParagraph"/>
        <w:numPr>
          <w:ilvl w:val="1"/>
          <w:numId w:val="13"/>
        </w:numPr>
        <w:spacing w:line="480" w:lineRule="auto"/>
        <w:jc w:val="both"/>
      </w:pPr>
      <w:proofErr w:type="gramStart"/>
      <w:r>
        <w:t>S</w:t>
      </w:r>
      <w:r w:rsidR="009D1E75">
        <w:t>pouse;</w:t>
      </w:r>
      <w:proofErr w:type="gramEnd"/>
      <w:r w:rsidR="009D1E75">
        <w:t xml:space="preserve"> </w:t>
      </w:r>
    </w:p>
    <w:p w14:paraId="745FF04C" w14:textId="42DCCE92" w:rsidR="00347868" w:rsidRDefault="00347868" w:rsidP="00110C46">
      <w:pPr>
        <w:pStyle w:val="ListParagraph"/>
        <w:numPr>
          <w:ilvl w:val="1"/>
          <w:numId w:val="13"/>
        </w:numPr>
        <w:spacing w:line="480" w:lineRule="auto"/>
        <w:jc w:val="both"/>
      </w:pPr>
      <w:r>
        <w:t>G</w:t>
      </w:r>
      <w:r w:rsidR="009D1E75">
        <w:t>randparent</w:t>
      </w:r>
      <w:r>
        <w:t>;</w:t>
      </w:r>
      <w:r w:rsidR="009D1E75">
        <w:t xml:space="preserve"> or </w:t>
      </w:r>
    </w:p>
    <w:p w14:paraId="6FA86679" w14:textId="2BED868A" w:rsidR="0085695C" w:rsidRDefault="00347868" w:rsidP="00110C46">
      <w:pPr>
        <w:pStyle w:val="ListParagraph"/>
        <w:numPr>
          <w:ilvl w:val="1"/>
          <w:numId w:val="13"/>
        </w:numPr>
        <w:spacing w:line="480" w:lineRule="auto"/>
        <w:jc w:val="both"/>
      </w:pPr>
      <w:r>
        <w:t>G</w:t>
      </w:r>
      <w:r w:rsidR="009D1E75">
        <w:t>randchild</w:t>
      </w:r>
      <w:r w:rsidR="0085695C">
        <w:t>.</w:t>
      </w:r>
    </w:p>
    <w:p w14:paraId="31AD5C73" w14:textId="54F8F318" w:rsidR="004251BD" w:rsidRDefault="004251BD" w:rsidP="00110C46">
      <w:pPr>
        <w:tabs>
          <w:tab w:val="left" w:pos="540"/>
        </w:tabs>
        <w:spacing w:line="480" w:lineRule="auto"/>
        <w:ind w:left="450" w:hanging="450"/>
        <w:jc w:val="both"/>
      </w:pPr>
      <w:r>
        <w:t>4.</w:t>
      </w:r>
      <w:r>
        <w:tab/>
        <w:t>“Relationship in a private capacity” with respect to the interests of another person, means a commitment, interest, or relationship of a public official:</w:t>
      </w:r>
    </w:p>
    <w:p w14:paraId="62C076C0" w14:textId="77777777" w:rsidR="004251BD" w:rsidRDefault="004251BD" w:rsidP="00110C46">
      <w:pPr>
        <w:pStyle w:val="ListParagraph"/>
        <w:numPr>
          <w:ilvl w:val="1"/>
          <w:numId w:val="18"/>
        </w:numPr>
        <w:spacing w:line="480" w:lineRule="auto"/>
        <w:jc w:val="both"/>
      </w:pPr>
      <w:r>
        <w:t xml:space="preserve">To their </w:t>
      </w:r>
      <w:proofErr w:type="gramStart"/>
      <w:r>
        <w:t>spouse;</w:t>
      </w:r>
      <w:proofErr w:type="gramEnd"/>
    </w:p>
    <w:p w14:paraId="0C988ED3" w14:textId="77777777" w:rsidR="004251BD" w:rsidRDefault="004251BD" w:rsidP="00110C46">
      <w:pPr>
        <w:pStyle w:val="ListParagraph"/>
        <w:numPr>
          <w:ilvl w:val="1"/>
          <w:numId w:val="18"/>
        </w:numPr>
        <w:spacing w:line="480" w:lineRule="auto"/>
        <w:jc w:val="both"/>
      </w:pPr>
      <w:r>
        <w:t xml:space="preserve">To an individual residing in their </w:t>
      </w:r>
      <w:proofErr w:type="gramStart"/>
      <w:r>
        <w:t>household;</w:t>
      </w:r>
      <w:proofErr w:type="gramEnd"/>
    </w:p>
    <w:p w14:paraId="53ABFDC8" w14:textId="5BF7CD5F" w:rsidR="004251BD" w:rsidRDefault="004251BD" w:rsidP="00110C46">
      <w:pPr>
        <w:pStyle w:val="ListParagraph"/>
        <w:numPr>
          <w:ilvl w:val="1"/>
          <w:numId w:val="18"/>
        </w:numPr>
        <w:spacing w:line="480" w:lineRule="auto"/>
        <w:jc w:val="both"/>
      </w:pPr>
      <w:r>
        <w:t>To an individual who</w:t>
      </w:r>
      <w:r w:rsidR="00335F5F">
        <w:t xml:space="preserve"> is</w:t>
      </w:r>
      <w:r>
        <w:t xml:space="preserve"> a member of their immediate </w:t>
      </w:r>
      <w:proofErr w:type="gramStart"/>
      <w:r>
        <w:t>family;</w:t>
      </w:r>
      <w:proofErr w:type="gramEnd"/>
    </w:p>
    <w:p w14:paraId="0833C64A" w14:textId="77777777" w:rsidR="004251BD" w:rsidRDefault="004251BD" w:rsidP="00110C46">
      <w:pPr>
        <w:pStyle w:val="ListParagraph"/>
        <w:numPr>
          <w:ilvl w:val="1"/>
          <w:numId w:val="18"/>
        </w:numPr>
        <w:spacing w:line="480" w:lineRule="auto"/>
        <w:jc w:val="both"/>
      </w:pPr>
      <w:r>
        <w:t xml:space="preserve">To the employer of the public official or the employer of the public official’s immediate </w:t>
      </w:r>
      <w:proofErr w:type="gramStart"/>
      <w:r>
        <w:t>family;</w:t>
      </w:r>
      <w:proofErr w:type="gramEnd"/>
    </w:p>
    <w:p w14:paraId="454AB630" w14:textId="117E404B" w:rsidR="004251BD" w:rsidRDefault="004251BD" w:rsidP="00110C46">
      <w:pPr>
        <w:pStyle w:val="ListParagraph"/>
        <w:numPr>
          <w:ilvl w:val="1"/>
          <w:numId w:val="18"/>
        </w:numPr>
        <w:spacing w:line="480" w:lineRule="auto"/>
        <w:jc w:val="both"/>
      </w:pPr>
      <w:r>
        <w:t>To a person with whom the public official has a substantial and continu</w:t>
      </w:r>
      <w:r w:rsidR="0081495D">
        <w:t>ous</w:t>
      </w:r>
      <w:r>
        <w:t xml:space="preserve"> business relationship; or </w:t>
      </w:r>
    </w:p>
    <w:p w14:paraId="5E3C16D8" w14:textId="337548C6" w:rsidR="004251BD" w:rsidRDefault="004251BD" w:rsidP="00110C46">
      <w:pPr>
        <w:pStyle w:val="ListParagraph"/>
        <w:numPr>
          <w:ilvl w:val="1"/>
          <w:numId w:val="18"/>
        </w:numPr>
        <w:spacing w:line="480" w:lineRule="auto"/>
        <w:jc w:val="both"/>
      </w:pPr>
      <w:r>
        <w:lastRenderedPageBreak/>
        <w:t xml:space="preserve">To anyone with whom the public official has any other commitment, interest, or relationship that is substantially </w:t>
      </w:r>
      <w:proofErr w:type="gramStart"/>
      <w:r w:rsidR="00154B75">
        <w:t xml:space="preserve">similar </w:t>
      </w:r>
      <w:r>
        <w:t>to</w:t>
      </w:r>
      <w:proofErr w:type="gramEnd"/>
      <w:r>
        <w:t xml:space="preserve"> a commitment, interest or relationship described in Section </w:t>
      </w:r>
      <w:r w:rsidR="00154B75">
        <w:t xml:space="preserve">4 </w:t>
      </w:r>
      <w:r>
        <w:t>(a)-(e), above.</w:t>
      </w:r>
    </w:p>
    <w:p w14:paraId="0CBDE69D" w14:textId="5CB3484D" w:rsidR="00FD4B47" w:rsidRDefault="004251BD" w:rsidP="00110C46">
      <w:pPr>
        <w:pStyle w:val="ListParagraph"/>
        <w:numPr>
          <w:ilvl w:val="0"/>
          <w:numId w:val="19"/>
        </w:numPr>
        <w:tabs>
          <w:tab w:val="left" w:pos="450"/>
          <w:tab w:val="left" w:pos="720"/>
        </w:tabs>
        <w:spacing w:line="480" w:lineRule="auto"/>
        <w:ind w:left="450" w:hanging="450"/>
        <w:jc w:val="both"/>
      </w:pPr>
      <w:r>
        <w:t>“Significant financial interest”</w:t>
      </w:r>
      <w:r w:rsidR="004478E8">
        <w:t xml:space="preserve"> or “significant business interest”</w:t>
      </w:r>
      <w:r>
        <w:t xml:space="preserve"> means an in-kind or monetary interest, or its equivalent, not shared by the </w:t>
      </w:r>
      <w:proofErr w:type="gramStart"/>
      <w:r>
        <w:t>general public</w:t>
      </w:r>
      <w:proofErr w:type="gramEnd"/>
      <w:r w:rsidR="004478E8">
        <w:t xml:space="preserve">. </w:t>
      </w:r>
      <w:r w:rsidR="00FD4B47">
        <w:t>D</w:t>
      </w:r>
      <w:r>
        <w:t>oes not include</w:t>
      </w:r>
      <w:r w:rsidR="00FD4B47">
        <w:t>:</w:t>
      </w:r>
    </w:p>
    <w:p w14:paraId="419EBDCA" w14:textId="6F9CB11C" w:rsidR="004251BD" w:rsidRDefault="00776964" w:rsidP="00110C46">
      <w:pPr>
        <w:pStyle w:val="ListParagraph"/>
        <w:numPr>
          <w:ilvl w:val="1"/>
          <w:numId w:val="19"/>
        </w:numPr>
        <w:tabs>
          <w:tab w:val="left" w:pos="450"/>
          <w:tab w:val="left" w:pos="720"/>
        </w:tabs>
        <w:spacing w:line="480" w:lineRule="auto"/>
        <w:jc w:val="both"/>
      </w:pPr>
      <w:r>
        <w:t>C</w:t>
      </w:r>
      <w:r w:rsidR="004251BD">
        <w:t>ampaign donations made in accordance with North Dakota or federal law.</w:t>
      </w:r>
    </w:p>
    <w:p w14:paraId="1A542C14" w14:textId="5C0A682D" w:rsidR="00FD4B47" w:rsidRDefault="00FD4B47" w:rsidP="00110C46">
      <w:pPr>
        <w:pStyle w:val="ListParagraph"/>
        <w:numPr>
          <w:ilvl w:val="1"/>
          <w:numId w:val="19"/>
        </w:numPr>
        <w:tabs>
          <w:tab w:val="left" w:pos="450"/>
          <w:tab w:val="left" w:pos="720"/>
        </w:tabs>
        <w:spacing w:line="480" w:lineRule="auto"/>
        <w:jc w:val="both"/>
      </w:pPr>
      <w:r>
        <w:t xml:space="preserve">Investments in </w:t>
      </w:r>
      <w:r w:rsidR="00D94B01">
        <w:t>a</w:t>
      </w:r>
      <w:r>
        <w:t xml:space="preserve"> mutual fund</w:t>
      </w:r>
      <w:r w:rsidR="00D94B01">
        <w:t xml:space="preserve">; ownership interest in one of the parties to the proceeding which is shared by the </w:t>
      </w:r>
      <w:proofErr w:type="gramStart"/>
      <w:r w:rsidR="00D94B01">
        <w:t>general public</w:t>
      </w:r>
      <w:proofErr w:type="gramEnd"/>
      <w:r w:rsidR="00D94B01">
        <w:t>; and an investment or ownership interest in a retirement account of one of the parties to the proceeding</w:t>
      </w:r>
      <w:r>
        <w:t xml:space="preserve">. </w:t>
      </w:r>
    </w:p>
    <w:p w14:paraId="32D20EF0" w14:textId="164B5D1E" w:rsidR="00C80B3D" w:rsidRDefault="00C80B3D" w:rsidP="00110C46">
      <w:pPr>
        <w:pStyle w:val="ListParagraph"/>
        <w:numPr>
          <w:ilvl w:val="0"/>
          <w:numId w:val="19"/>
        </w:numPr>
        <w:spacing w:line="480" w:lineRule="auto"/>
        <w:ind w:left="360"/>
        <w:jc w:val="both"/>
      </w:pPr>
      <w:r>
        <w:t>“Quasi-judicial” act means a</w:t>
      </w:r>
      <w:r w:rsidR="00EC1816">
        <w:t>n</w:t>
      </w:r>
      <w:r w:rsidR="000C531D">
        <w:t xml:space="preserve"> act in which the</w:t>
      </w:r>
      <w:r>
        <w:t xml:space="preserve"> public official has the power and authority to exercise judgment and discretion, hear and determine or ascertain facts, make binding orders and judgments affecting personal or property rights, examine witnesses, and enforce decisions or impose penalties.  The term “quasi-judicial” broadly means the public official is called upon to perform a judicial act</w:t>
      </w:r>
      <w:r w:rsidR="00A81B9E">
        <w:t xml:space="preserve"> when</w:t>
      </w:r>
      <w:r>
        <w:t xml:space="preserve"> the public official is not a member of the North Dakota judiciary.</w:t>
      </w:r>
    </w:p>
    <w:p w14:paraId="71B07D2A" w14:textId="77777777" w:rsidR="00C80B3D" w:rsidRPr="00C80B3D" w:rsidRDefault="00C80B3D" w:rsidP="00110C46">
      <w:pPr>
        <w:pStyle w:val="NoSpacing"/>
        <w:spacing w:line="480" w:lineRule="auto"/>
        <w:jc w:val="both"/>
        <w:rPr>
          <w:b/>
        </w:rPr>
      </w:pPr>
      <w:bookmarkStart w:id="4" w:name="_Hlk73611920"/>
      <w:r w:rsidRPr="00C80B3D">
        <w:rPr>
          <w:b/>
        </w:rPr>
        <w:t>115-04-01-02</w:t>
      </w:r>
      <w:r w:rsidRPr="00C80B3D">
        <w:rPr>
          <w:b/>
        </w:rPr>
        <w:tab/>
        <w:t>Disclosure of Conflict of Interests</w:t>
      </w:r>
    </w:p>
    <w:bookmarkEnd w:id="4"/>
    <w:p w14:paraId="050F3441" w14:textId="77777777" w:rsidR="00D34A87" w:rsidRDefault="0071350B" w:rsidP="00110C46">
      <w:pPr>
        <w:pStyle w:val="ListParagraph"/>
        <w:numPr>
          <w:ilvl w:val="0"/>
          <w:numId w:val="21"/>
        </w:numPr>
        <w:spacing w:line="480" w:lineRule="auto"/>
        <w:ind w:left="360"/>
        <w:jc w:val="both"/>
      </w:pPr>
      <w:r>
        <w:t>When a matter comes before a public official in which the public official has a conflict of interest, the public official must disclose the conflict of interest in a public manner.  The disclosure</w:t>
      </w:r>
      <w:r w:rsidR="00A81B9E">
        <w:t>:</w:t>
      </w:r>
      <w:r>
        <w:t xml:space="preserve"> </w:t>
      </w:r>
    </w:p>
    <w:p w14:paraId="557B842C" w14:textId="35CEA7C2" w:rsidR="00D34A87" w:rsidRDefault="00D34A87" w:rsidP="00110C46">
      <w:pPr>
        <w:pStyle w:val="ListParagraph"/>
        <w:numPr>
          <w:ilvl w:val="1"/>
          <w:numId w:val="21"/>
        </w:numPr>
        <w:spacing w:line="480" w:lineRule="auto"/>
        <w:jc w:val="both"/>
      </w:pPr>
      <w:r>
        <w:t>M</w:t>
      </w:r>
      <w:r w:rsidR="0071350B">
        <w:t xml:space="preserve">ust be made prior to the public official </w:t>
      </w:r>
      <w:r w:rsidR="00E41695">
        <w:t xml:space="preserve">taking </w:t>
      </w:r>
      <w:r w:rsidR="0071350B">
        <w:t xml:space="preserve">any action or </w:t>
      </w:r>
      <w:proofErr w:type="gramStart"/>
      <w:r w:rsidR="00E41695">
        <w:t xml:space="preserve">making </w:t>
      </w:r>
      <w:r w:rsidR="0071350B">
        <w:t>a decision</w:t>
      </w:r>
      <w:proofErr w:type="gramEnd"/>
      <w:r w:rsidR="0071350B">
        <w:t xml:space="preserve"> in the matter</w:t>
      </w:r>
      <w:r>
        <w:t>; and</w:t>
      </w:r>
      <w:r w:rsidR="0071350B">
        <w:t xml:space="preserve">  </w:t>
      </w:r>
    </w:p>
    <w:p w14:paraId="2D1D917F" w14:textId="334B2F7F" w:rsidR="0071350B" w:rsidRDefault="00D34A87" w:rsidP="00110C46">
      <w:pPr>
        <w:pStyle w:val="ListParagraph"/>
        <w:numPr>
          <w:ilvl w:val="1"/>
          <w:numId w:val="21"/>
        </w:numPr>
        <w:spacing w:line="480" w:lineRule="auto"/>
        <w:jc w:val="both"/>
      </w:pPr>
      <w:r>
        <w:t>M</w:t>
      </w:r>
      <w:r w:rsidR="0071350B">
        <w:t xml:space="preserve">ust provide sufficient information concerning the matter giving rise to the conflict of interest to put the public on notice of the potential effect of the action upon the person who provided the gift to the public official, upon the public official’s significant financial </w:t>
      </w:r>
      <w:r w:rsidR="0071350B">
        <w:lastRenderedPageBreak/>
        <w:t xml:space="preserve">interest, or upon the person to whom the public official has a commitment in a private capacity.    </w:t>
      </w:r>
    </w:p>
    <w:p w14:paraId="6FA982AD" w14:textId="1722A0D3" w:rsidR="0077408F" w:rsidRDefault="00257CE3" w:rsidP="00110C46">
      <w:pPr>
        <w:pStyle w:val="ListParagraph"/>
        <w:numPr>
          <w:ilvl w:val="0"/>
          <w:numId w:val="21"/>
        </w:numPr>
        <w:tabs>
          <w:tab w:val="left" w:pos="270"/>
        </w:tabs>
        <w:spacing w:line="480" w:lineRule="auto"/>
        <w:ind w:left="90" w:firstLine="0"/>
        <w:jc w:val="both"/>
      </w:pPr>
      <w:r>
        <w:t xml:space="preserve">  </w:t>
      </w:r>
      <w:r w:rsidR="0077408F">
        <w:t>The public official</w:t>
      </w:r>
      <w:r w:rsidR="00E41695">
        <w:t>, unless otherwise required</w:t>
      </w:r>
      <w:r w:rsidR="006B447D">
        <w:t xml:space="preserve"> by law,</w:t>
      </w:r>
      <w:r w:rsidR="0077408F">
        <w:t xml:space="preserve"> shall disclose conflicts of interests as follows:</w:t>
      </w:r>
    </w:p>
    <w:p w14:paraId="6AE58789" w14:textId="09E50CA0" w:rsidR="0067173E" w:rsidRDefault="0067173E" w:rsidP="00110C46">
      <w:pPr>
        <w:pStyle w:val="ListParagraph"/>
        <w:numPr>
          <w:ilvl w:val="1"/>
          <w:numId w:val="21"/>
        </w:numPr>
        <w:spacing w:line="480" w:lineRule="auto"/>
        <w:jc w:val="both"/>
      </w:pPr>
      <w:r>
        <w:t xml:space="preserve">If a public official is a member of the legislature, the public official must make the disclosure to the legislative assembly, of which the public official is a member, prior to the vote on any matter in which the public official has a conflict of interest.  </w:t>
      </w:r>
    </w:p>
    <w:p w14:paraId="028D95F9" w14:textId="33220D46" w:rsidR="0067173E" w:rsidRDefault="0067173E" w:rsidP="00110C46">
      <w:pPr>
        <w:pStyle w:val="ListParagraph"/>
        <w:numPr>
          <w:ilvl w:val="1"/>
          <w:numId w:val="21"/>
        </w:numPr>
        <w:spacing w:line="480" w:lineRule="auto"/>
        <w:jc w:val="both"/>
      </w:pPr>
      <w:r>
        <w:t>If a public official is an employee of the legislature, the public official must make the disclosure</w:t>
      </w:r>
      <w:r w:rsidR="00C2730F">
        <w:t xml:space="preserve"> in writing</w:t>
      </w:r>
      <w:r>
        <w:t xml:space="preserve"> to his or her supervisor.  </w:t>
      </w:r>
    </w:p>
    <w:p w14:paraId="47388349" w14:textId="46045481" w:rsidR="006B447D" w:rsidRDefault="0067173E">
      <w:pPr>
        <w:pStyle w:val="ListParagraph"/>
        <w:numPr>
          <w:ilvl w:val="1"/>
          <w:numId w:val="21"/>
        </w:numPr>
        <w:spacing w:line="480" w:lineRule="auto"/>
        <w:jc w:val="both"/>
      </w:pPr>
      <w:r>
        <w:t>If the public official is a member of the Governor’s cabinet, the public official must make the disclosure</w:t>
      </w:r>
      <w:r w:rsidR="00C2730F">
        <w:t xml:space="preserve"> in writing</w:t>
      </w:r>
      <w:r>
        <w:t xml:space="preserve"> to the Governor’s </w:t>
      </w:r>
      <w:r w:rsidR="006B447D">
        <w:t>designated ethics officer</w:t>
      </w:r>
      <w:r>
        <w:t xml:space="preserve">.  </w:t>
      </w:r>
    </w:p>
    <w:p w14:paraId="7431C043" w14:textId="15EDDFDB" w:rsidR="002C47A8" w:rsidRDefault="006B447D" w:rsidP="002C47A8">
      <w:pPr>
        <w:pStyle w:val="ListParagraph"/>
        <w:numPr>
          <w:ilvl w:val="1"/>
          <w:numId w:val="21"/>
        </w:numPr>
        <w:spacing w:line="480" w:lineRule="auto"/>
        <w:jc w:val="both"/>
      </w:pPr>
      <w:r>
        <w:t xml:space="preserve">If the public official is a member of a board or commission, they must </w:t>
      </w:r>
      <w:r w:rsidR="00740530">
        <w:t>disclose</w:t>
      </w:r>
      <w:r>
        <w:t xml:space="preserve"> at </w:t>
      </w:r>
      <w:r w:rsidR="00740530">
        <w:t>the</w:t>
      </w:r>
      <w:r>
        <w:t xml:space="preserve"> board or commission meeting at which they </w:t>
      </w:r>
      <w:r w:rsidR="00740530">
        <w:t xml:space="preserve">may </w:t>
      </w:r>
      <w:r>
        <w:t>have a conflict.</w:t>
      </w:r>
    </w:p>
    <w:p w14:paraId="14565BA9" w14:textId="598ABB82" w:rsidR="00E84F99" w:rsidRDefault="00E84F99" w:rsidP="002C47A8">
      <w:pPr>
        <w:pStyle w:val="ListParagraph"/>
        <w:numPr>
          <w:ilvl w:val="1"/>
          <w:numId w:val="21"/>
        </w:numPr>
        <w:spacing w:line="480" w:lineRule="auto"/>
        <w:jc w:val="both"/>
      </w:pPr>
      <w:r>
        <w:t xml:space="preserve">If the public official is appointed and none of the above disclosure requirements apply, they must disclose the conflict to their appointing official.     </w:t>
      </w:r>
    </w:p>
    <w:p w14:paraId="1F33FC9F" w14:textId="576C77B3" w:rsidR="0077408F" w:rsidRDefault="0077408F" w:rsidP="00110C46">
      <w:pPr>
        <w:pStyle w:val="NoSpacing"/>
        <w:spacing w:line="480" w:lineRule="auto"/>
        <w:jc w:val="both"/>
        <w:rPr>
          <w:b/>
        </w:rPr>
      </w:pPr>
      <w:bookmarkStart w:id="5" w:name="_Hlk75951005"/>
      <w:r w:rsidRPr="00C80B3D">
        <w:rPr>
          <w:b/>
        </w:rPr>
        <w:t>115-04-01-0</w:t>
      </w:r>
      <w:r>
        <w:rPr>
          <w:b/>
        </w:rPr>
        <w:t>3</w:t>
      </w:r>
      <w:r w:rsidRPr="00C80B3D">
        <w:rPr>
          <w:b/>
        </w:rPr>
        <w:tab/>
      </w:r>
      <w:r>
        <w:rPr>
          <w:b/>
        </w:rPr>
        <w:t>Public Official Disqualification or Abstention</w:t>
      </w:r>
    </w:p>
    <w:bookmarkEnd w:id="5"/>
    <w:p w14:paraId="1C0CF229" w14:textId="5E870EA2" w:rsidR="0077408F" w:rsidRDefault="0077408F" w:rsidP="00110C46">
      <w:pPr>
        <w:pStyle w:val="ListParagraph"/>
        <w:numPr>
          <w:ilvl w:val="0"/>
          <w:numId w:val="24"/>
        </w:numPr>
        <w:tabs>
          <w:tab w:val="left" w:pos="540"/>
        </w:tabs>
        <w:spacing w:line="480" w:lineRule="auto"/>
        <w:ind w:left="360"/>
        <w:jc w:val="both"/>
      </w:pPr>
      <w:r>
        <w:t xml:space="preserve">Appropriate weight and proper deference must be given to the </w:t>
      </w:r>
      <w:r w:rsidR="00710544">
        <w:t xml:space="preserve">requirement </w:t>
      </w:r>
      <w:r>
        <w:t xml:space="preserve">that a public official perform the duties of elected or appointed office, including the duty to vote or otherwise act upon a matter, provided the public official has properly disclosed the conflict of interest as provided in this rule.  Disqualification or abstention from consideration of the matter or voting on a matter before the public official should only occur in cases where the independence of judgment of a reasonable person in the public official’s situation would be materially affected by the conflict of interest. </w:t>
      </w:r>
    </w:p>
    <w:p w14:paraId="3EE6132E" w14:textId="032EBE93" w:rsidR="0077408F" w:rsidRDefault="0077408F" w:rsidP="00110C46">
      <w:pPr>
        <w:pStyle w:val="ListParagraph"/>
        <w:numPr>
          <w:ilvl w:val="0"/>
          <w:numId w:val="24"/>
        </w:numPr>
        <w:spacing w:line="480" w:lineRule="auto"/>
        <w:ind w:left="450"/>
        <w:jc w:val="both"/>
      </w:pPr>
      <w:r>
        <w:t xml:space="preserve">In matters where North Dakota law provides a procedure for the substitution of another individual, agency or official to act in the place of the public official who has a conflict of interest, the public official may abstain or disqualify himself/herself from </w:t>
      </w:r>
      <w:proofErr w:type="gramStart"/>
      <w:r>
        <w:t>taking action</w:t>
      </w:r>
      <w:proofErr w:type="gramEnd"/>
      <w:r>
        <w:t xml:space="preserve"> in the matter.</w:t>
      </w:r>
      <w:r w:rsidR="00457244">
        <w:t xml:space="preserve">  However, after </w:t>
      </w:r>
      <w:r w:rsidR="00457244">
        <w:lastRenderedPageBreak/>
        <w:t xml:space="preserve">disclosure, the agency head or governing body shall determine </w:t>
      </w:r>
      <w:r w:rsidR="00291F8C">
        <w:t>whether</w:t>
      </w:r>
      <w:r w:rsidR="00457244">
        <w:t xml:space="preserve"> to disqualify o</w:t>
      </w:r>
      <w:r w:rsidR="008A4307">
        <w:t>r</w:t>
      </w:r>
      <w:r w:rsidR="00457244">
        <w:t xml:space="preserve"> </w:t>
      </w:r>
      <w:r w:rsidR="00291F8C">
        <w:t>abstain from further participation in the matter</w:t>
      </w:r>
      <w:r w:rsidR="00457244">
        <w:t>.</w:t>
      </w:r>
    </w:p>
    <w:p w14:paraId="771EC6FF" w14:textId="3351AFDF" w:rsidR="008A0BD8" w:rsidRDefault="0077408F" w:rsidP="00110C46">
      <w:pPr>
        <w:pStyle w:val="ListParagraph"/>
        <w:numPr>
          <w:ilvl w:val="0"/>
          <w:numId w:val="24"/>
        </w:numPr>
        <w:spacing w:line="480" w:lineRule="auto"/>
        <w:ind w:left="450"/>
        <w:jc w:val="both"/>
      </w:pPr>
      <w:r>
        <w:t xml:space="preserve">In matters where North Dakota law does not provide a procedure for the substitution of another individual, agency or official to act in the place of the public official who has a conflict of interest, the public official may not abstain or disqualify himself/herself from </w:t>
      </w:r>
      <w:proofErr w:type="gramStart"/>
      <w:r>
        <w:t>taking action</w:t>
      </w:r>
      <w:proofErr w:type="gramEnd"/>
      <w:r>
        <w:t xml:space="preserve"> in the matter.  </w:t>
      </w:r>
    </w:p>
    <w:bookmarkEnd w:id="2"/>
    <w:bookmarkEnd w:id="3"/>
    <w:p w14:paraId="7F709E0E" w14:textId="51B02243" w:rsidR="00154B75" w:rsidRDefault="008A0BD8" w:rsidP="00154B75">
      <w:pPr>
        <w:pStyle w:val="NoSpacing"/>
        <w:spacing w:line="480" w:lineRule="auto"/>
        <w:jc w:val="both"/>
        <w:rPr>
          <w:b/>
        </w:rPr>
      </w:pPr>
      <w:r>
        <w:rPr>
          <w:b/>
        </w:rPr>
        <w:t>115-04-01-</w:t>
      </w:r>
      <w:r w:rsidR="00154B75" w:rsidRPr="00C80B3D">
        <w:rPr>
          <w:b/>
        </w:rPr>
        <w:t>0</w:t>
      </w:r>
      <w:r w:rsidR="00154B75">
        <w:rPr>
          <w:b/>
        </w:rPr>
        <w:t>4</w:t>
      </w:r>
      <w:r w:rsidR="00154B75" w:rsidRPr="00C80B3D">
        <w:rPr>
          <w:b/>
        </w:rPr>
        <w:tab/>
      </w:r>
      <w:r w:rsidR="00154B75">
        <w:rPr>
          <w:b/>
        </w:rPr>
        <w:t>Adoption of More Restrictive Rules</w:t>
      </w:r>
    </w:p>
    <w:p w14:paraId="0F0522D6" w14:textId="012805B7" w:rsidR="00154B75" w:rsidRPr="00110C46" w:rsidRDefault="00F14B79" w:rsidP="00110C46">
      <w:pPr>
        <w:pStyle w:val="NoSpacing"/>
        <w:spacing w:line="480" w:lineRule="auto"/>
        <w:jc w:val="both"/>
        <w:rPr>
          <w:bCs/>
        </w:rPr>
      </w:pPr>
      <w:r w:rsidRPr="00110C46">
        <w:rPr>
          <w:bCs/>
        </w:rPr>
        <w:t>Any entity subject to these rules may adopt conflict rules that are more restrictive but may not adopt conflict rules less restrictive.</w:t>
      </w:r>
    </w:p>
    <w:p w14:paraId="767A9438" w14:textId="77777777" w:rsidR="00154B75" w:rsidRDefault="00154B75" w:rsidP="00154B75">
      <w:pPr>
        <w:pStyle w:val="NoSpacing"/>
        <w:spacing w:line="480" w:lineRule="auto"/>
        <w:jc w:val="both"/>
        <w:rPr>
          <w:b/>
        </w:rPr>
      </w:pPr>
    </w:p>
    <w:p w14:paraId="79FF78A9" w14:textId="77777777" w:rsidR="00154B75" w:rsidRDefault="00154B75" w:rsidP="00110C46">
      <w:pPr>
        <w:spacing w:line="480" w:lineRule="auto"/>
        <w:jc w:val="both"/>
      </w:pPr>
    </w:p>
    <w:sectPr w:rsidR="00154B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0C40" w14:textId="77777777" w:rsidR="00E55D94" w:rsidRDefault="00E55D94" w:rsidP="00040D02">
      <w:pPr>
        <w:spacing w:after="0" w:line="240" w:lineRule="auto"/>
      </w:pPr>
      <w:r>
        <w:separator/>
      </w:r>
    </w:p>
  </w:endnote>
  <w:endnote w:type="continuationSeparator" w:id="0">
    <w:p w14:paraId="181B4D1F" w14:textId="77777777" w:rsidR="00E55D94" w:rsidRDefault="00E55D94"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AE3D4" w14:textId="77777777" w:rsidR="00E55D94" w:rsidRDefault="00E55D94" w:rsidP="00040D02">
      <w:pPr>
        <w:spacing w:after="0" w:line="240" w:lineRule="auto"/>
      </w:pPr>
      <w:r>
        <w:separator/>
      </w:r>
    </w:p>
  </w:footnote>
  <w:footnote w:type="continuationSeparator" w:id="0">
    <w:p w14:paraId="75FE52C5" w14:textId="77777777" w:rsidR="00E55D94" w:rsidRDefault="00E55D94"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62B"/>
    <w:multiLevelType w:val="multilevel"/>
    <w:tmpl w:val="B8040744"/>
    <w:lvl w:ilvl="0">
      <w:start w:val="115"/>
      <w:numFmt w:val="decimal"/>
      <w:lvlText w:val="%1"/>
      <w:lvlJc w:val="left"/>
      <w:pPr>
        <w:ind w:left="240" w:hanging="600"/>
      </w:pPr>
      <w:rPr>
        <w:rFonts w:hint="default"/>
      </w:rPr>
    </w:lvl>
    <w:lvl w:ilvl="1">
      <w:start w:val="2"/>
      <w:numFmt w:val="decimalZero"/>
      <w:lvlText w:val="%1-%2"/>
      <w:lvlJc w:val="left"/>
      <w:pPr>
        <w:ind w:left="240" w:hanging="60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1747CE7"/>
    <w:multiLevelType w:val="hybridMultilevel"/>
    <w:tmpl w:val="30C45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4DC9"/>
    <w:multiLevelType w:val="hybridMultilevel"/>
    <w:tmpl w:val="CCF8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14DC9"/>
    <w:multiLevelType w:val="hybridMultilevel"/>
    <w:tmpl w:val="BA447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02147"/>
    <w:multiLevelType w:val="hybridMultilevel"/>
    <w:tmpl w:val="045216F6"/>
    <w:lvl w:ilvl="0" w:tplc="625614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C3485"/>
    <w:multiLevelType w:val="hybridMultilevel"/>
    <w:tmpl w:val="A754CB9A"/>
    <w:lvl w:ilvl="0" w:tplc="4CC0B5C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9" w15:restartNumberingAfterBreak="0">
    <w:nsid w:val="2C4F7BA5"/>
    <w:multiLevelType w:val="hybridMultilevel"/>
    <w:tmpl w:val="CC5A2910"/>
    <w:lvl w:ilvl="0" w:tplc="E4564332">
      <w:start w:val="1"/>
      <w:numFmt w:val="upperLetter"/>
      <w:lvlText w:val="%1."/>
      <w:lvlJc w:val="left"/>
      <w:pPr>
        <w:ind w:left="1080" w:hanging="360"/>
      </w:pPr>
      <w:rPr>
        <w:rFonts w:hint="default"/>
      </w:rPr>
    </w:lvl>
    <w:lvl w:ilvl="1" w:tplc="9C781BAE">
      <w:start w:val="1"/>
      <w:numFmt w:val="decimal"/>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D50E99"/>
    <w:multiLevelType w:val="hybridMultilevel"/>
    <w:tmpl w:val="9A74E37A"/>
    <w:lvl w:ilvl="0" w:tplc="FFB0B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941D32"/>
    <w:multiLevelType w:val="hybridMultilevel"/>
    <w:tmpl w:val="8EDAC1B6"/>
    <w:lvl w:ilvl="0" w:tplc="0E8EC0D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9F51D2"/>
    <w:multiLevelType w:val="hybridMultilevel"/>
    <w:tmpl w:val="A754CB9A"/>
    <w:lvl w:ilvl="0" w:tplc="4CC0B5C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61016"/>
    <w:multiLevelType w:val="hybridMultilevel"/>
    <w:tmpl w:val="3B7A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17428"/>
    <w:multiLevelType w:val="hybridMultilevel"/>
    <w:tmpl w:val="A754CB9A"/>
    <w:lvl w:ilvl="0" w:tplc="4CC0B5C8">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F1953"/>
    <w:multiLevelType w:val="hybridMultilevel"/>
    <w:tmpl w:val="FCC84706"/>
    <w:lvl w:ilvl="0" w:tplc="F6A6F9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94CF7"/>
    <w:multiLevelType w:val="hybridMultilevel"/>
    <w:tmpl w:val="8FC4DE1E"/>
    <w:lvl w:ilvl="0" w:tplc="26DC2876">
      <w:start w:val="5"/>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859DD"/>
    <w:multiLevelType w:val="hybridMultilevel"/>
    <w:tmpl w:val="A754CB9A"/>
    <w:lvl w:ilvl="0" w:tplc="4CC0B5C8">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B55515"/>
    <w:multiLevelType w:val="hybridMultilevel"/>
    <w:tmpl w:val="7E76F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BE2C55"/>
    <w:multiLevelType w:val="hybridMultilevel"/>
    <w:tmpl w:val="A754CB9A"/>
    <w:lvl w:ilvl="0" w:tplc="4CC0B5C8">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9348F0"/>
    <w:multiLevelType w:val="hybridMultilevel"/>
    <w:tmpl w:val="A95E23FC"/>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16"/>
  </w:num>
  <w:num w:numId="5">
    <w:abstractNumId w:val="0"/>
  </w:num>
  <w:num w:numId="6">
    <w:abstractNumId w:val="12"/>
  </w:num>
  <w:num w:numId="7">
    <w:abstractNumId w:val="11"/>
  </w:num>
  <w:num w:numId="8">
    <w:abstractNumId w:val="21"/>
  </w:num>
  <w:num w:numId="9">
    <w:abstractNumId w:val="23"/>
  </w:num>
  <w:num w:numId="10">
    <w:abstractNumId w:val="5"/>
  </w:num>
  <w:num w:numId="11">
    <w:abstractNumId w:val="19"/>
  </w:num>
  <w:num w:numId="12">
    <w:abstractNumId w:val="17"/>
  </w:num>
  <w:num w:numId="13">
    <w:abstractNumId w:val="15"/>
  </w:num>
  <w:num w:numId="14">
    <w:abstractNumId w:val="2"/>
  </w:num>
  <w:num w:numId="15">
    <w:abstractNumId w:val="13"/>
  </w:num>
  <w:num w:numId="16">
    <w:abstractNumId w:val="7"/>
  </w:num>
  <w:num w:numId="17">
    <w:abstractNumId w:val="22"/>
  </w:num>
  <w:num w:numId="18">
    <w:abstractNumId w:val="20"/>
  </w:num>
  <w:num w:numId="19">
    <w:abstractNumId w:val="18"/>
  </w:num>
  <w:num w:numId="20">
    <w:abstractNumId w:val="14"/>
  </w:num>
  <w:num w:numId="21">
    <w:abstractNumId w:val="1"/>
  </w:num>
  <w:num w:numId="22">
    <w:abstractNumId w:val="9"/>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056EA"/>
    <w:rsid w:val="00006D8B"/>
    <w:rsid w:val="00015544"/>
    <w:rsid w:val="00021974"/>
    <w:rsid w:val="00024D2C"/>
    <w:rsid w:val="000308EB"/>
    <w:rsid w:val="00030992"/>
    <w:rsid w:val="00031350"/>
    <w:rsid w:val="00040D02"/>
    <w:rsid w:val="00047B52"/>
    <w:rsid w:val="00054BB2"/>
    <w:rsid w:val="0006074D"/>
    <w:rsid w:val="00065283"/>
    <w:rsid w:val="000752C7"/>
    <w:rsid w:val="00075582"/>
    <w:rsid w:val="00082127"/>
    <w:rsid w:val="00083C32"/>
    <w:rsid w:val="00086E57"/>
    <w:rsid w:val="0009322B"/>
    <w:rsid w:val="000A10FE"/>
    <w:rsid w:val="000A2DD1"/>
    <w:rsid w:val="000B1A91"/>
    <w:rsid w:val="000C531D"/>
    <w:rsid w:val="000D4ABF"/>
    <w:rsid w:val="001032E6"/>
    <w:rsid w:val="00105DA5"/>
    <w:rsid w:val="00110C46"/>
    <w:rsid w:val="00121E68"/>
    <w:rsid w:val="00122C0E"/>
    <w:rsid w:val="0012641C"/>
    <w:rsid w:val="00126C6C"/>
    <w:rsid w:val="00131203"/>
    <w:rsid w:val="00132718"/>
    <w:rsid w:val="001446B8"/>
    <w:rsid w:val="001507C1"/>
    <w:rsid w:val="00154B75"/>
    <w:rsid w:val="00157008"/>
    <w:rsid w:val="00157850"/>
    <w:rsid w:val="00161A40"/>
    <w:rsid w:val="001679A9"/>
    <w:rsid w:val="001779CE"/>
    <w:rsid w:val="00180756"/>
    <w:rsid w:val="00181168"/>
    <w:rsid w:val="00192E2E"/>
    <w:rsid w:val="001957A8"/>
    <w:rsid w:val="00197EE1"/>
    <w:rsid w:val="001A3718"/>
    <w:rsid w:val="001A4D9B"/>
    <w:rsid w:val="001A6BCA"/>
    <w:rsid w:val="001B51C1"/>
    <w:rsid w:val="001B7492"/>
    <w:rsid w:val="001C44D8"/>
    <w:rsid w:val="001E2A00"/>
    <w:rsid w:val="001F2B3B"/>
    <w:rsid w:val="001F5F29"/>
    <w:rsid w:val="00201FCD"/>
    <w:rsid w:val="00210115"/>
    <w:rsid w:val="00212846"/>
    <w:rsid w:val="002225C8"/>
    <w:rsid w:val="002239CD"/>
    <w:rsid w:val="00237B2B"/>
    <w:rsid w:val="00243FAD"/>
    <w:rsid w:val="00251629"/>
    <w:rsid w:val="00257CE3"/>
    <w:rsid w:val="00260366"/>
    <w:rsid w:val="00275208"/>
    <w:rsid w:val="002772CD"/>
    <w:rsid w:val="00291F8C"/>
    <w:rsid w:val="002969B9"/>
    <w:rsid w:val="002B1BA7"/>
    <w:rsid w:val="002C2B2D"/>
    <w:rsid w:val="002C3C70"/>
    <w:rsid w:val="002C47A8"/>
    <w:rsid w:val="002F30A9"/>
    <w:rsid w:val="002F44EE"/>
    <w:rsid w:val="00327D06"/>
    <w:rsid w:val="00335F5F"/>
    <w:rsid w:val="00336EE4"/>
    <w:rsid w:val="00347868"/>
    <w:rsid w:val="00367465"/>
    <w:rsid w:val="003D2657"/>
    <w:rsid w:val="0040514F"/>
    <w:rsid w:val="00407B74"/>
    <w:rsid w:val="00416F14"/>
    <w:rsid w:val="004251BD"/>
    <w:rsid w:val="00431E3A"/>
    <w:rsid w:val="00432556"/>
    <w:rsid w:val="0043653D"/>
    <w:rsid w:val="004478E8"/>
    <w:rsid w:val="00454430"/>
    <w:rsid w:val="00457244"/>
    <w:rsid w:val="004657DC"/>
    <w:rsid w:val="00471C8D"/>
    <w:rsid w:val="00475CBF"/>
    <w:rsid w:val="00496B55"/>
    <w:rsid w:val="004D3A72"/>
    <w:rsid w:val="004D6333"/>
    <w:rsid w:val="004E76FC"/>
    <w:rsid w:val="004F422A"/>
    <w:rsid w:val="00500CE7"/>
    <w:rsid w:val="00513FB1"/>
    <w:rsid w:val="00516983"/>
    <w:rsid w:val="0052418B"/>
    <w:rsid w:val="00524AB7"/>
    <w:rsid w:val="00530C1E"/>
    <w:rsid w:val="00532967"/>
    <w:rsid w:val="0054210B"/>
    <w:rsid w:val="00544FFE"/>
    <w:rsid w:val="005520DC"/>
    <w:rsid w:val="005531D1"/>
    <w:rsid w:val="00577083"/>
    <w:rsid w:val="00583F4E"/>
    <w:rsid w:val="00591394"/>
    <w:rsid w:val="005A00C0"/>
    <w:rsid w:val="005A1173"/>
    <w:rsid w:val="005A23BA"/>
    <w:rsid w:val="005B0406"/>
    <w:rsid w:val="005D2B64"/>
    <w:rsid w:val="005E5B0B"/>
    <w:rsid w:val="005F2D47"/>
    <w:rsid w:val="00613822"/>
    <w:rsid w:val="00620C3A"/>
    <w:rsid w:val="006249A3"/>
    <w:rsid w:val="00630D0E"/>
    <w:rsid w:val="0064544B"/>
    <w:rsid w:val="0065242F"/>
    <w:rsid w:val="00661DFC"/>
    <w:rsid w:val="00666276"/>
    <w:rsid w:val="0067173E"/>
    <w:rsid w:val="0067531A"/>
    <w:rsid w:val="00675332"/>
    <w:rsid w:val="006864CA"/>
    <w:rsid w:val="006879FB"/>
    <w:rsid w:val="006A2F85"/>
    <w:rsid w:val="006B24C3"/>
    <w:rsid w:val="006B4436"/>
    <w:rsid w:val="006B447D"/>
    <w:rsid w:val="006B4D83"/>
    <w:rsid w:val="006B60E6"/>
    <w:rsid w:val="006C284E"/>
    <w:rsid w:val="006D0B8A"/>
    <w:rsid w:val="006D39C4"/>
    <w:rsid w:val="006F5E02"/>
    <w:rsid w:val="006F6800"/>
    <w:rsid w:val="00702350"/>
    <w:rsid w:val="00710544"/>
    <w:rsid w:val="0071350B"/>
    <w:rsid w:val="00714131"/>
    <w:rsid w:val="00722190"/>
    <w:rsid w:val="0073089F"/>
    <w:rsid w:val="00732653"/>
    <w:rsid w:val="00740530"/>
    <w:rsid w:val="00743E65"/>
    <w:rsid w:val="007506CC"/>
    <w:rsid w:val="00750B49"/>
    <w:rsid w:val="0077408F"/>
    <w:rsid w:val="00776964"/>
    <w:rsid w:val="00777766"/>
    <w:rsid w:val="00780252"/>
    <w:rsid w:val="00783906"/>
    <w:rsid w:val="007909C4"/>
    <w:rsid w:val="00793F58"/>
    <w:rsid w:val="007A217A"/>
    <w:rsid w:val="007A2450"/>
    <w:rsid w:val="007B1F3B"/>
    <w:rsid w:val="007B394C"/>
    <w:rsid w:val="007B7E46"/>
    <w:rsid w:val="007D5013"/>
    <w:rsid w:val="007E0BB0"/>
    <w:rsid w:val="007E1A93"/>
    <w:rsid w:val="007E3455"/>
    <w:rsid w:val="007E6E74"/>
    <w:rsid w:val="0081495D"/>
    <w:rsid w:val="008221F1"/>
    <w:rsid w:val="00824830"/>
    <w:rsid w:val="00846A9A"/>
    <w:rsid w:val="008471FE"/>
    <w:rsid w:val="0085695C"/>
    <w:rsid w:val="00861AEF"/>
    <w:rsid w:val="00862FC8"/>
    <w:rsid w:val="00876A39"/>
    <w:rsid w:val="008808E4"/>
    <w:rsid w:val="00894061"/>
    <w:rsid w:val="00895ECA"/>
    <w:rsid w:val="008A0507"/>
    <w:rsid w:val="008A0BD8"/>
    <w:rsid w:val="008A27C5"/>
    <w:rsid w:val="008A4307"/>
    <w:rsid w:val="008A468C"/>
    <w:rsid w:val="008A497F"/>
    <w:rsid w:val="008A6B3F"/>
    <w:rsid w:val="008C613C"/>
    <w:rsid w:val="008C7176"/>
    <w:rsid w:val="008C7E79"/>
    <w:rsid w:val="008E215D"/>
    <w:rsid w:val="00937780"/>
    <w:rsid w:val="00946C93"/>
    <w:rsid w:val="00953E79"/>
    <w:rsid w:val="00977B2D"/>
    <w:rsid w:val="00997A5B"/>
    <w:rsid w:val="009A2F44"/>
    <w:rsid w:val="009A5A68"/>
    <w:rsid w:val="009B1ADA"/>
    <w:rsid w:val="009B64E1"/>
    <w:rsid w:val="009D1E75"/>
    <w:rsid w:val="009F54D3"/>
    <w:rsid w:val="00A03D1B"/>
    <w:rsid w:val="00A16FE8"/>
    <w:rsid w:val="00A22DD3"/>
    <w:rsid w:val="00A562F1"/>
    <w:rsid w:val="00A70876"/>
    <w:rsid w:val="00A81B9E"/>
    <w:rsid w:val="00A86527"/>
    <w:rsid w:val="00AA19F5"/>
    <w:rsid w:val="00AA1E10"/>
    <w:rsid w:val="00AA5010"/>
    <w:rsid w:val="00AC0DC7"/>
    <w:rsid w:val="00AC152E"/>
    <w:rsid w:val="00AE7C8D"/>
    <w:rsid w:val="00AF5135"/>
    <w:rsid w:val="00AF52FB"/>
    <w:rsid w:val="00B01272"/>
    <w:rsid w:val="00B052D6"/>
    <w:rsid w:val="00B257FA"/>
    <w:rsid w:val="00B34731"/>
    <w:rsid w:val="00B4103F"/>
    <w:rsid w:val="00B504FD"/>
    <w:rsid w:val="00B648D4"/>
    <w:rsid w:val="00B87809"/>
    <w:rsid w:val="00B920A9"/>
    <w:rsid w:val="00BA282C"/>
    <w:rsid w:val="00BA396F"/>
    <w:rsid w:val="00BA780F"/>
    <w:rsid w:val="00BB403E"/>
    <w:rsid w:val="00BD3C2D"/>
    <w:rsid w:val="00BD7EC0"/>
    <w:rsid w:val="00BE28C5"/>
    <w:rsid w:val="00BF1F02"/>
    <w:rsid w:val="00BF317D"/>
    <w:rsid w:val="00C162B0"/>
    <w:rsid w:val="00C25678"/>
    <w:rsid w:val="00C2730F"/>
    <w:rsid w:val="00C40EC7"/>
    <w:rsid w:val="00C43500"/>
    <w:rsid w:val="00C54A7F"/>
    <w:rsid w:val="00C73204"/>
    <w:rsid w:val="00C76265"/>
    <w:rsid w:val="00C80B3D"/>
    <w:rsid w:val="00C92C7E"/>
    <w:rsid w:val="00CA0B46"/>
    <w:rsid w:val="00CA2470"/>
    <w:rsid w:val="00CA2A89"/>
    <w:rsid w:val="00CA2F20"/>
    <w:rsid w:val="00CA4AA7"/>
    <w:rsid w:val="00CB3CE7"/>
    <w:rsid w:val="00CD6057"/>
    <w:rsid w:val="00CE35A4"/>
    <w:rsid w:val="00CF00D5"/>
    <w:rsid w:val="00CF7B04"/>
    <w:rsid w:val="00D012BA"/>
    <w:rsid w:val="00D068C7"/>
    <w:rsid w:val="00D21479"/>
    <w:rsid w:val="00D30F07"/>
    <w:rsid w:val="00D34A87"/>
    <w:rsid w:val="00D4584A"/>
    <w:rsid w:val="00D6224E"/>
    <w:rsid w:val="00D63215"/>
    <w:rsid w:val="00D75771"/>
    <w:rsid w:val="00D8089C"/>
    <w:rsid w:val="00D92E7A"/>
    <w:rsid w:val="00D94B01"/>
    <w:rsid w:val="00DB0E48"/>
    <w:rsid w:val="00DC306E"/>
    <w:rsid w:val="00DC721E"/>
    <w:rsid w:val="00DD0507"/>
    <w:rsid w:val="00DD2C6D"/>
    <w:rsid w:val="00DE5D55"/>
    <w:rsid w:val="00E04DA4"/>
    <w:rsid w:val="00E27AA8"/>
    <w:rsid w:val="00E41695"/>
    <w:rsid w:val="00E45C6A"/>
    <w:rsid w:val="00E55D94"/>
    <w:rsid w:val="00E56620"/>
    <w:rsid w:val="00E569D8"/>
    <w:rsid w:val="00E662E9"/>
    <w:rsid w:val="00E761DF"/>
    <w:rsid w:val="00E84F99"/>
    <w:rsid w:val="00E86672"/>
    <w:rsid w:val="00E97996"/>
    <w:rsid w:val="00EA1372"/>
    <w:rsid w:val="00EB04B6"/>
    <w:rsid w:val="00EC1816"/>
    <w:rsid w:val="00ED5D3C"/>
    <w:rsid w:val="00EE00AA"/>
    <w:rsid w:val="00EE11F9"/>
    <w:rsid w:val="00F14B79"/>
    <w:rsid w:val="00F27BC0"/>
    <w:rsid w:val="00F47F1A"/>
    <w:rsid w:val="00F61C58"/>
    <w:rsid w:val="00F62B6B"/>
    <w:rsid w:val="00F76F2F"/>
    <w:rsid w:val="00F963C9"/>
    <w:rsid w:val="00F97981"/>
    <w:rsid w:val="00FA723D"/>
    <w:rsid w:val="00FA7CD9"/>
    <w:rsid w:val="00FC4BA1"/>
    <w:rsid w:val="00FD363C"/>
    <w:rsid w:val="00FD3AA5"/>
    <w:rsid w:val="00FD4B47"/>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9B5"/>
  <w15:chartTrackingRefBased/>
  <w15:docId w15:val="{930C74F6-397B-4623-A5C0-6A66715D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632E-80A4-4F69-9AB0-79EA6ABA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5</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dc:description/>
  <cp:lastModifiedBy>Thiele, David L.</cp:lastModifiedBy>
  <cp:revision>2</cp:revision>
  <cp:lastPrinted>2021-06-30T17:39:00Z</cp:lastPrinted>
  <dcterms:created xsi:type="dcterms:W3CDTF">2021-07-07T14:00:00Z</dcterms:created>
  <dcterms:modified xsi:type="dcterms:W3CDTF">2021-07-07T14:00:00Z</dcterms:modified>
</cp:coreProperties>
</file>